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51" w:rsidRPr="008E603B" w:rsidRDefault="00CD389E">
      <w:pPr>
        <w:rPr>
          <w:sz w:val="24"/>
          <w:szCs w:val="24"/>
        </w:rPr>
      </w:pPr>
      <w:r w:rsidRPr="008E603B">
        <w:rPr>
          <w:noProof/>
          <w:sz w:val="24"/>
          <w:szCs w:val="24"/>
          <w:lang w:val="en-US"/>
        </w:rPr>
        <w:drawing>
          <wp:anchor distT="0" distB="0" distL="114300" distR="114300" simplePos="0" relativeHeight="251662336" behindDoc="0" locked="0" layoutInCell="1" allowOverlap="1" wp14:anchorId="4C21651D" wp14:editId="13DA3544">
            <wp:simplePos x="0" y="0"/>
            <wp:positionH relativeFrom="page">
              <wp:posOffset>4708719</wp:posOffset>
            </wp:positionH>
            <wp:positionV relativeFrom="paragraph">
              <wp:posOffset>-509712</wp:posOffset>
            </wp:positionV>
            <wp:extent cx="2814955" cy="440055"/>
            <wp:effectExtent l="0" t="0" r="4445"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955" cy="440055"/>
                    </a:xfrm>
                    <a:prstGeom prst="rect">
                      <a:avLst/>
                    </a:prstGeom>
                  </pic:spPr>
                </pic:pic>
              </a:graphicData>
            </a:graphic>
          </wp:anchor>
        </w:drawing>
      </w:r>
    </w:p>
    <w:p w:rsidR="008D1A51" w:rsidRPr="008E603B" w:rsidRDefault="00B74831">
      <w:pPr>
        <w:rPr>
          <w:sz w:val="24"/>
          <w:szCs w:val="24"/>
        </w:rPr>
      </w:pPr>
      <w:r w:rsidRPr="008E603B">
        <w:rPr>
          <w:noProof/>
          <w:sz w:val="24"/>
          <w:szCs w:val="24"/>
          <w:lang w:val="en-US"/>
        </w:rPr>
        <mc:AlternateContent>
          <mc:Choice Requires="wps">
            <w:drawing>
              <wp:anchor distT="0" distB="0" distL="114300" distR="114300" simplePos="0" relativeHeight="251659264" behindDoc="0" locked="0" layoutInCell="1" allowOverlap="1" wp14:anchorId="530647ED" wp14:editId="330226C4">
                <wp:simplePos x="0" y="0"/>
                <wp:positionH relativeFrom="margin">
                  <wp:posOffset>209550</wp:posOffset>
                </wp:positionH>
                <wp:positionV relativeFrom="paragraph">
                  <wp:posOffset>69215</wp:posOffset>
                </wp:positionV>
                <wp:extent cx="5796500" cy="51435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96500" cy="514350"/>
                        </a:xfrm>
                        <a:prstGeom prst="rect">
                          <a:avLst/>
                        </a:prstGeom>
                        <a:solidFill>
                          <a:schemeClr val="accent5">
                            <a:lumMod val="60000"/>
                            <a:lumOff val="40000"/>
                          </a:schemeClr>
                        </a:solidFill>
                      </wps:spPr>
                      <wps:txbx>
                        <w:txbxContent>
                          <w:p w:rsidR="008D1A51" w:rsidRPr="00AA3435" w:rsidRDefault="00641A8F" w:rsidP="00B74831">
                            <w:pPr>
                              <w:pStyle w:val="NormalWeb"/>
                              <w:shd w:val="clear" w:color="auto" w:fill="FFFFFF" w:themeFill="background1"/>
                              <w:spacing w:before="0" w:beforeAutospacing="0" w:after="0" w:afterAutospacing="0" w:line="216" w:lineRule="auto"/>
                              <w:jc w:val="center"/>
                              <w:rPr>
                                <w:sz w:val="14"/>
                              </w:rPr>
                            </w:pPr>
                            <w:r w:rsidRPr="00AA3435">
                              <w:rPr>
                                <w:rFonts w:asciiTheme="minorHAnsi" w:eastAsiaTheme="majorEastAsia" w:hAnsi="Calibri" w:cstheme="majorBidi"/>
                                <w:b/>
                                <w:bCs/>
                                <w:color w:val="323E4F" w:themeColor="text2" w:themeShade="BF"/>
                                <w:kern w:val="24"/>
                                <w:sz w:val="36"/>
                                <w:szCs w:val="56"/>
                                <w:lang w:val="en-US"/>
                              </w:rPr>
                              <w:t>Health Profile</w:t>
                            </w:r>
                            <w:r w:rsidR="00B74831" w:rsidRPr="00AA3435">
                              <w:rPr>
                                <w:rFonts w:asciiTheme="minorHAnsi" w:eastAsiaTheme="majorEastAsia" w:hAnsi="Calibri" w:cstheme="majorBidi"/>
                                <w:b/>
                                <w:bCs/>
                                <w:color w:val="323E4F" w:themeColor="text2" w:themeShade="BF"/>
                                <w:kern w:val="24"/>
                                <w:sz w:val="36"/>
                                <w:szCs w:val="56"/>
                                <w:lang w:val="en-US"/>
                              </w:rPr>
                              <w:t xml:space="preserve"> </w:t>
                            </w:r>
                            <w:r w:rsidR="00AA3435" w:rsidRPr="00AA3435">
                              <w:rPr>
                                <w:rFonts w:asciiTheme="minorHAnsi" w:eastAsiaTheme="majorEastAsia" w:hAnsi="Calibri" w:cstheme="majorBidi"/>
                                <w:b/>
                                <w:bCs/>
                                <w:color w:val="323E4F" w:themeColor="text2" w:themeShade="BF"/>
                                <w:kern w:val="24"/>
                                <w:sz w:val="36"/>
                                <w:szCs w:val="56"/>
                                <w:lang w:val="en-US"/>
                              </w:rPr>
                              <w:t>c</w:t>
                            </w:r>
                            <w:r w:rsidR="00B74831" w:rsidRPr="00AA3435">
                              <w:rPr>
                                <w:rFonts w:asciiTheme="minorHAnsi" w:eastAsiaTheme="majorEastAsia" w:hAnsi="Calibri" w:cstheme="majorBidi"/>
                                <w:b/>
                                <w:bCs/>
                                <w:color w:val="323E4F" w:themeColor="text2" w:themeShade="BF"/>
                                <w:kern w:val="24"/>
                                <w:sz w:val="36"/>
                                <w:szCs w:val="56"/>
                                <w:lang w:val="en-US"/>
                              </w:rPr>
                              <w:t xml:space="preserve">ompared to </w:t>
                            </w:r>
                            <w:r w:rsidR="00AA3435" w:rsidRPr="00AA3435">
                              <w:rPr>
                                <w:rFonts w:asciiTheme="minorHAnsi" w:eastAsiaTheme="majorEastAsia" w:hAnsi="Calibri" w:cstheme="majorBidi"/>
                                <w:b/>
                                <w:bCs/>
                                <w:color w:val="323E4F" w:themeColor="text2" w:themeShade="BF"/>
                                <w:kern w:val="24"/>
                                <w:sz w:val="36"/>
                                <w:szCs w:val="56"/>
                                <w:lang w:val="en-US"/>
                              </w:rPr>
                              <w:t>Canadian p</w:t>
                            </w:r>
                            <w:r w:rsidR="00B74831" w:rsidRPr="00AA3435">
                              <w:rPr>
                                <w:rFonts w:asciiTheme="minorHAnsi" w:eastAsiaTheme="majorEastAsia" w:hAnsi="Calibri" w:cstheme="majorBidi"/>
                                <w:b/>
                                <w:bCs/>
                                <w:color w:val="323E4F" w:themeColor="text2" w:themeShade="BF"/>
                                <w:kern w:val="24"/>
                                <w:sz w:val="36"/>
                                <w:szCs w:val="56"/>
                                <w:lang w:val="en-US"/>
                              </w:rPr>
                              <w:t xml:space="preserve">opulation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30647ED" id="Title 1" o:spid="_x0000_s1026" style="position:absolute;margin-left:16.5pt;margin-top:5.45pt;width:456.4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" fillcolor="#8eaadb [1944]" stroked="f">
                <v:path arrowok="t"/>
                <o:lock v:ext="edit" grouping="t"/>
                <v:textbox>
                  <w:txbxContent>
                    <w:p w:rsidR="008D1A51" w:rsidRPr="00AA3435" w:rsidRDefault="00641A8F" w:rsidP="00B74831">
                      <w:pPr>
                        <w:pStyle w:val="NormalWeb"/>
                        <w:shd w:val="clear" w:color="auto" w:fill="FFFFFF" w:themeFill="background1"/>
                        <w:spacing w:before="0" w:beforeAutospacing="0" w:after="0" w:afterAutospacing="0" w:line="216" w:lineRule="auto"/>
                        <w:jc w:val="center"/>
                        <w:rPr>
                          <w:sz w:val="14"/>
                        </w:rPr>
                      </w:pPr>
                      <w:r w:rsidRPr="00AA3435">
                        <w:rPr>
                          <w:rFonts w:asciiTheme="minorHAnsi" w:eastAsiaTheme="majorEastAsia" w:hAnsi="Calibri" w:cstheme="majorBidi"/>
                          <w:b/>
                          <w:bCs/>
                          <w:color w:val="323E4F" w:themeColor="text2" w:themeShade="BF"/>
                          <w:kern w:val="24"/>
                          <w:sz w:val="36"/>
                          <w:szCs w:val="56"/>
                          <w:lang w:val="en-US"/>
                        </w:rPr>
                        <w:t>Health Profile</w:t>
                      </w:r>
                      <w:r w:rsidR="00B74831" w:rsidRPr="00AA3435">
                        <w:rPr>
                          <w:rFonts w:asciiTheme="minorHAnsi" w:eastAsiaTheme="majorEastAsia" w:hAnsi="Calibri" w:cstheme="majorBidi"/>
                          <w:b/>
                          <w:bCs/>
                          <w:color w:val="323E4F" w:themeColor="text2" w:themeShade="BF"/>
                          <w:kern w:val="24"/>
                          <w:sz w:val="36"/>
                          <w:szCs w:val="56"/>
                          <w:lang w:val="en-US"/>
                        </w:rPr>
                        <w:t xml:space="preserve"> </w:t>
                      </w:r>
                      <w:r w:rsidR="00AA3435" w:rsidRPr="00AA3435">
                        <w:rPr>
                          <w:rFonts w:asciiTheme="minorHAnsi" w:eastAsiaTheme="majorEastAsia" w:hAnsi="Calibri" w:cstheme="majorBidi"/>
                          <w:b/>
                          <w:bCs/>
                          <w:color w:val="323E4F" w:themeColor="text2" w:themeShade="BF"/>
                          <w:kern w:val="24"/>
                          <w:sz w:val="36"/>
                          <w:szCs w:val="56"/>
                          <w:lang w:val="en-US"/>
                        </w:rPr>
                        <w:t>c</w:t>
                      </w:r>
                      <w:r w:rsidR="00B74831" w:rsidRPr="00AA3435">
                        <w:rPr>
                          <w:rFonts w:asciiTheme="minorHAnsi" w:eastAsiaTheme="majorEastAsia" w:hAnsi="Calibri" w:cstheme="majorBidi"/>
                          <w:b/>
                          <w:bCs/>
                          <w:color w:val="323E4F" w:themeColor="text2" w:themeShade="BF"/>
                          <w:kern w:val="24"/>
                          <w:sz w:val="36"/>
                          <w:szCs w:val="56"/>
                          <w:lang w:val="en-US"/>
                        </w:rPr>
                        <w:t xml:space="preserve">ompared to </w:t>
                      </w:r>
                      <w:r w:rsidR="00AA3435" w:rsidRPr="00AA3435">
                        <w:rPr>
                          <w:rFonts w:asciiTheme="minorHAnsi" w:eastAsiaTheme="majorEastAsia" w:hAnsi="Calibri" w:cstheme="majorBidi"/>
                          <w:b/>
                          <w:bCs/>
                          <w:color w:val="323E4F" w:themeColor="text2" w:themeShade="BF"/>
                          <w:kern w:val="24"/>
                          <w:sz w:val="36"/>
                          <w:szCs w:val="56"/>
                          <w:lang w:val="en-US"/>
                        </w:rPr>
                        <w:t>Canadian p</w:t>
                      </w:r>
                      <w:r w:rsidR="00B74831" w:rsidRPr="00AA3435">
                        <w:rPr>
                          <w:rFonts w:asciiTheme="minorHAnsi" w:eastAsiaTheme="majorEastAsia" w:hAnsi="Calibri" w:cstheme="majorBidi"/>
                          <w:b/>
                          <w:bCs/>
                          <w:color w:val="323E4F" w:themeColor="text2" w:themeShade="BF"/>
                          <w:kern w:val="24"/>
                          <w:sz w:val="36"/>
                          <w:szCs w:val="56"/>
                          <w:lang w:val="en-US"/>
                        </w:rPr>
                        <w:t xml:space="preserve">opulation </w:t>
                      </w:r>
                    </w:p>
                  </w:txbxContent>
                </v:textbox>
                <w10:wrap anchorx="margin"/>
              </v:rect>
            </w:pict>
          </mc:Fallback>
        </mc:AlternateContent>
      </w:r>
      <w:r w:rsidR="008D1A51" w:rsidRPr="008E603B">
        <w:rPr>
          <w:noProof/>
          <w:sz w:val="24"/>
          <w:szCs w:val="24"/>
          <w:lang w:val="en-US"/>
        </w:rPr>
        <mc:AlternateContent>
          <mc:Choice Requires="wps">
            <w:drawing>
              <wp:anchor distT="0" distB="0" distL="114300" distR="114300" simplePos="0" relativeHeight="251663360" behindDoc="0" locked="0" layoutInCell="1" allowOverlap="1" wp14:anchorId="3F725ABF" wp14:editId="2110150D">
                <wp:simplePos x="0" y="0"/>
                <wp:positionH relativeFrom="column">
                  <wp:posOffset>5807902</wp:posOffset>
                </wp:positionH>
                <wp:positionV relativeFrom="paragraph">
                  <wp:posOffset>6000990</wp:posOffset>
                </wp:positionV>
                <wp:extent cx="2743200" cy="365125"/>
                <wp:effectExtent l="0" t="0" r="0" b="0"/>
                <wp:wrapNone/>
                <wp:docPr id="7" name="Slide Number Placeholder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365125"/>
                        </a:xfrm>
                        <a:prstGeom prst="rect">
                          <a:avLst/>
                        </a:prstGeom>
                      </wps:spPr>
                      <wps:txbx>
                        <w:txbxContent>
                          <w:p w:rsidR="008D1A51" w:rsidRDefault="008D1A51" w:rsidP="008D1A51">
                            <w:pPr>
                              <w:pStyle w:val="NormalWeb"/>
                              <w:spacing w:before="0" w:beforeAutospacing="0" w:after="0" w:afterAutospacing="0"/>
                              <w:jc w:val="right"/>
                            </w:pPr>
                            <w:r>
                              <w:rPr>
                                <w:rFonts w:asciiTheme="minorHAnsi" w:hAnsi="Calibri" w:cstheme="minorBidi"/>
                                <w:color w:val="404040" w:themeColor="text1" w:themeTint="BF"/>
                                <w:kern w:val="24"/>
                                <w:lang w:val="en-US"/>
                              </w:rPr>
                              <w:t>1</w:t>
                            </w:r>
                          </w:p>
                        </w:txbxContent>
                      </wps:txbx>
                      <wps:bodyPr vert="horz" lIns="91440" tIns="45720" rIns="91440" bIns="45720" rtlCol="0" anchor="ctr"/>
                    </wps:wsp>
                  </a:graphicData>
                </a:graphic>
              </wp:anchor>
            </w:drawing>
          </mc:Choice>
          <mc:Fallback>
            <w:pict>
              <v:rect w14:anchorId="3F725ABF" id="Slide Number Placeholder 6" o:spid="_x0000_s1027" style="position:absolute;margin-left:457.3pt;margin-top:472.5pt;width:3in;height:2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" filled="f" stroked="f">
                <v:path arrowok="t"/>
                <o:lock v:ext="edit" grouping="t"/>
                <v:textbox>
                  <w:txbxContent>
                    <w:p w:rsidR="008D1A51" w:rsidRDefault="008D1A51" w:rsidP="008D1A51">
                      <w:pPr>
                        <w:pStyle w:val="NormalWeb"/>
                        <w:spacing w:before="0" w:beforeAutospacing="0" w:after="0" w:afterAutospacing="0"/>
                        <w:jc w:val="right"/>
                      </w:pPr>
                      <w:r>
                        <w:rPr>
                          <w:rFonts w:asciiTheme="minorHAnsi" w:hAnsi="Calibri" w:cstheme="minorBidi"/>
                          <w:color w:val="404040" w:themeColor="text1" w:themeTint="BF"/>
                          <w:kern w:val="24"/>
                          <w:lang w:val="en-US"/>
                        </w:rPr>
                        <w:t>1</w:t>
                      </w:r>
                    </w:p>
                  </w:txbxContent>
                </v:textbox>
              </v:rect>
            </w:pict>
          </mc:Fallback>
        </mc:AlternateContent>
      </w:r>
    </w:p>
    <w:p w:rsidR="008D1A51" w:rsidRPr="008E603B" w:rsidRDefault="008D1A51" w:rsidP="008D1A51">
      <w:pPr>
        <w:rPr>
          <w:sz w:val="24"/>
          <w:szCs w:val="24"/>
        </w:rPr>
      </w:pPr>
    </w:p>
    <w:p w:rsidR="008D1A51" w:rsidRPr="008E603B" w:rsidRDefault="008D1A51" w:rsidP="008D1A51">
      <w:pPr>
        <w:rPr>
          <w:sz w:val="24"/>
          <w:szCs w:val="24"/>
        </w:rPr>
      </w:pPr>
    </w:p>
    <w:tbl>
      <w:tblPr>
        <w:tblStyle w:val="GridTable1Light"/>
        <w:tblpPr w:leftFromText="180" w:rightFromText="180" w:vertAnchor="text" w:horzAnchor="margin" w:tblpXSpec="center" w:tblpY="-34"/>
        <w:tblW w:w="10733" w:type="dxa"/>
        <w:tblLook w:val="04A0" w:firstRow="1" w:lastRow="0" w:firstColumn="1" w:lastColumn="0" w:noHBand="0" w:noVBand="1"/>
      </w:tblPr>
      <w:tblGrid>
        <w:gridCol w:w="3577"/>
        <w:gridCol w:w="3578"/>
        <w:gridCol w:w="3578"/>
      </w:tblGrid>
      <w:tr w:rsidR="00641A8F" w:rsidRPr="008E603B" w:rsidTr="006B63DF">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BDD6EE" w:themeFill="accent1" w:themeFillTint="66"/>
            <w:hideMark/>
          </w:tcPr>
          <w:p w:rsidR="00641A8F" w:rsidRPr="008E603B" w:rsidRDefault="00641A8F" w:rsidP="00641A8F">
            <w:pPr>
              <w:rPr>
                <w:sz w:val="24"/>
                <w:szCs w:val="24"/>
              </w:rPr>
            </w:pPr>
            <w:r w:rsidRPr="008E603B">
              <w:rPr>
                <w:sz w:val="24"/>
                <w:szCs w:val="24"/>
                <w:lang w:val="en-US"/>
              </w:rPr>
              <w:t> </w:t>
            </w:r>
          </w:p>
        </w:tc>
        <w:tc>
          <w:tcPr>
            <w:tcW w:w="3578" w:type="dxa"/>
            <w:shd w:val="clear" w:color="auto" w:fill="BDD6EE" w:themeFill="accent1" w:themeFillTint="66"/>
            <w:hideMark/>
          </w:tcPr>
          <w:p w:rsidR="00641A8F" w:rsidRPr="008E603B" w:rsidRDefault="00641A8F" w:rsidP="006B63DF">
            <w:pPr>
              <w:jc w:val="center"/>
              <w:cnfStyle w:val="100000000000" w:firstRow="1" w:lastRow="0" w:firstColumn="0" w:lastColumn="0" w:oddVBand="0" w:evenVBand="0" w:oddHBand="0" w:evenHBand="0" w:firstRowFirstColumn="0" w:firstRowLastColumn="0" w:lastRowFirstColumn="0" w:lastRowLastColumn="0"/>
              <w:rPr>
                <w:sz w:val="24"/>
                <w:szCs w:val="24"/>
              </w:rPr>
            </w:pPr>
            <w:r w:rsidRPr="008E603B">
              <w:rPr>
                <w:sz w:val="24"/>
                <w:szCs w:val="24"/>
                <w:lang w:val="en-US"/>
              </w:rPr>
              <w:t>Your Clinic</w:t>
            </w:r>
          </w:p>
        </w:tc>
        <w:tc>
          <w:tcPr>
            <w:tcW w:w="3578" w:type="dxa"/>
            <w:shd w:val="clear" w:color="auto" w:fill="BDD6EE" w:themeFill="accent1" w:themeFillTint="66"/>
            <w:hideMark/>
          </w:tcPr>
          <w:p w:rsidR="00641A8F" w:rsidRPr="008E603B" w:rsidRDefault="00641A8F" w:rsidP="006B63DF">
            <w:pPr>
              <w:jc w:val="center"/>
              <w:cnfStyle w:val="100000000000" w:firstRow="1" w:lastRow="0" w:firstColumn="0" w:lastColumn="0" w:oddVBand="0" w:evenVBand="0" w:oddHBand="0" w:evenHBand="0" w:firstRowFirstColumn="0" w:firstRowLastColumn="0" w:lastRowFirstColumn="0" w:lastRowLastColumn="0"/>
              <w:rPr>
                <w:sz w:val="24"/>
                <w:szCs w:val="24"/>
              </w:rPr>
            </w:pPr>
            <w:r w:rsidRPr="008E603B">
              <w:rPr>
                <w:sz w:val="24"/>
                <w:szCs w:val="24"/>
                <w:lang w:val="en-US"/>
              </w:rPr>
              <w:t>Canada</w:t>
            </w:r>
          </w:p>
        </w:tc>
      </w:tr>
      <w:tr w:rsidR="00641A8F"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641A8F" w:rsidRPr="008E603B" w:rsidRDefault="00732AF8" w:rsidP="00732AF8">
            <w:pPr>
              <w:rPr>
                <w:sz w:val="24"/>
                <w:szCs w:val="24"/>
              </w:rPr>
            </w:pPr>
            <w:r>
              <w:rPr>
                <w:sz w:val="24"/>
                <w:szCs w:val="24"/>
                <w:lang w:val="en-US"/>
              </w:rPr>
              <w:t>Perceived General H</w:t>
            </w:r>
            <w:r w:rsidR="00641A8F" w:rsidRPr="008E603B">
              <w:rPr>
                <w:sz w:val="24"/>
                <w:szCs w:val="24"/>
                <w:lang w:val="en-US"/>
              </w:rPr>
              <w:t>ealth</w:t>
            </w:r>
          </w:p>
        </w:tc>
        <w:tc>
          <w:tcPr>
            <w:tcW w:w="3578" w:type="dxa"/>
            <w:hideMark/>
          </w:tcPr>
          <w:p w:rsidR="00641A8F" w:rsidRPr="008E603B" w:rsidRDefault="00641A8F" w:rsidP="00641A8F">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756F63">
              <w:rPr>
                <w:sz w:val="24"/>
                <w:szCs w:val="24"/>
                <w:lang w:val="en-US"/>
              </w:rPr>
              <w:t>Excellent or Very Good: 59.4%</w:t>
            </w:r>
          </w:p>
          <w:p w:rsidR="00641A8F"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756F63">
              <w:rPr>
                <w:sz w:val="24"/>
                <w:szCs w:val="24"/>
                <w:lang w:val="en-US"/>
              </w:rPr>
              <w:t>Fair or Poor: 11%</w:t>
            </w:r>
            <w:r w:rsidR="00A64A9E">
              <w:rPr>
                <w:sz w:val="24"/>
                <w:szCs w:val="24"/>
                <w:vertAlign w:val="superscript"/>
                <w:lang w:val="en-US"/>
              </w:rPr>
              <w:t>1</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756F63" w:rsidRPr="008E603B" w:rsidRDefault="00756F63" w:rsidP="00756F63">
            <w:pPr>
              <w:rPr>
                <w:sz w:val="24"/>
                <w:szCs w:val="24"/>
              </w:rPr>
            </w:pPr>
            <w:r>
              <w:rPr>
                <w:sz w:val="24"/>
                <w:szCs w:val="24"/>
                <w:lang w:val="en-US"/>
              </w:rPr>
              <w:t>Perceived Mental H</w:t>
            </w:r>
            <w:r w:rsidRPr="008E603B">
              <w:rPr>
                <w:sz w:val="24"/>
                <w:szCs w:val="24"/>
                <w:lang w:val="en-US"/>
              </w:rPr>
              <w:t>ealth</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56F63">
              <w:rPr>
                <w:sz w:val="24"/>
                <w:szCs w:val="24"/>
              </w:rPr>
              <w:t>Excellent or Very Good: 71.1%</w:t>
            </w:r>
          </w:p>
          <w:p w:rsidR="00756F63" w:rsidRPr="00756F63" w:rsidRDefault="00A64A9E"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rPr>
            </w:pPr>
            <w:r>
              <w:rPr>
                <w:sz w:val="24"/>
                <w:szCs w:val="24"/>
              </w:rPr>
              <w:t>Fair or Poor: 6.3%</w:t>
            </w:r>
            <w:r w:rsidR="00922CF6">
              <w:rPr>
                <w:sz w:val="24"/>
                <w:szCs w:val="24"/>
                <w:vertAlign w:val="superscript"/>
              </w:rPr>
              <w:t>1</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756F63" w:rsidRPr="008E603B" w:rsidRDefault="00756F63" w:rsidP="00756F63">
            <w:pPr>
              <w:rPr>
                <w:sz w:val="24"/>
                <w:szCs w:val="24"/>
              </w:rPr>
            </w:pPr>
            <w:r>
              <w:rPr>
                <w:sz w:val="24"/>
                <w:szCs w:val="24"/>
                <w:lang w:val="en-US"/>
              </w:rPr>
              <w:t>Perceived Oral health</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756F63">
              <w:rPr>
                <w:sz w:val="24"/>
                <w:szCs w:val="24"/>
                <w:lang w:val="en-US"/>
              </w:rPr>
              <w:t xml:space="preserve">Excellent, Very Good, or Good: 84% </w:t>
            </w:r>
          </w:p>
          <w:p w:rsidR="00756F63"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756F63">
              <w:rPr>
                <w:sz w:val="24"/>
                <w:szCs w:val="24"/>
                <w:lang w:val="en-US"/>
              </w:rPr>
              <w:t>Fair or Poor: 16%</w:t>
            </w:r>
            <w:r w:rsidR="00A70ADD">
              <w:rPr>
                <w:sz w:val="24"/>
                <w:szCs w:val="24"/>
                <w:vertAlign w:val="superscript"/>
                <w:lang w:val="en-US"/>
              </w:rPr>
              <w:t>2</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756F63" w:rsidRDefault="00756F63" w:rsidP="00756F63">
            <w:pPr>
              <w:rPr>
                <w:sz w:val="24"/>
                <w:szCs w:val="24"/>
                <w:lang w:val="en-US"/>
              </w:rPr>
            </w:pPr>
            <w:r>
              <w:rPr>
                <w:sz w:val="24"/>
                <w:szCs w:val="24"/>
                <w:lang w:val="en-US"/>
              </w:rPr>
              <w:t>Depression</w:t>
            </w:r>
          </w:p>
        </w:tc>
        <w:tc>
          <w:tcPr>
            <w:tcW w:w="3578" w:type="dxa"/>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756F63" w:rsidRPr="00756F63"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756F63">
              <w:rPr>
                <w:sz w:val="24"/>
                <w:szCs w:val="24"/>
                <w:lang w:val="en-US"/>
              </w:rPr>
              <w:t>In the last 12 months: 4.7%</w:t>
            </w:r>
          </w:p>
          <w:p w:rsidR="00756F63" w:rsidRPr="006E538E" w:rsidRDefault="00756F63"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756F63">
              <w:rPr>
                <w:sz w:val="24"/>
                <w:szCs w:val="24"/>
                <w:lang w:val="en-US"/>
              </w:rPr>
              <w:t>Lifetime: 11.3%</w:t>
            </w:r>
            <w:r w:rsidR="00A70ADD">
              <w:rPr>
                <w:sz w:val="24"/>
                <w:szCs w:val="24"/>
                <w:vertAlign w:val="superscript"/>
                <w:lang w:val="en-US"/>
              </w:rPr>
              <w:t>3</w:t>
            </w:r>
          </w:p>
        </w:tc>
      </w:tr>
      <w:tr w:rsidR="006E538E"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6E538E" w:rsidRDefault="00A64A9E" w:rsidP="00756F63">
            <w:pPr>
              <w:rPr>
                <w:sz w:val="24"/>
                <w:szCs w:val="24"/>
                <w:lang w:val="en-US"/>
              </w:rPr>
            </w:pPr>
            <w:r>
              <w:rPr>
                <w:sz w:val="24"/>
                <w:szCs w:val="24"/>
                <w:lang w:val="en-US"/>
              </w:rPr>
              <w:t>Mood Disorder (self-</w:t>
            </w:r>
            <w:r w:rsidR="006E538E" w:rsidRPr="006E538E">
              <w:rPr>
                <w:sz w:val="24"/>
                <w:szCs w:val="24"/>
                <w:lang w:val="en-US"/>
              </w:rPr>
              <w:t>reported, aged 12 and over)</w:t>
            </w:r>
          </w:p>
        </w:tc>
        <w:tc>
          <w:tcPr>
            <w:tcW w:w="3578" w:type="dxa"/>
          </w:tcPr>
          <w:p w:rsidR="006E538E" w:rsidRPr="008E603B" w:rsidRDefault="006E538E"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6E538E" w:rsidRPr="006E538E" w:rsidRDefault="006E538E"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6E538E">
              <w:rPr>
                <w:sz w:val="24"/>
                <w:szCs w:val="24"/>
                <w:lang w:val="en-US"/>
              </w:rPr>
              <w:t>7.6%</w:t>
            </w:r>
            <w:r w:rsidR="00922CF6">
              <w:rPr>
                <w:sz w:val="24"/>
                <w:szCs w:val="24"/>
                <w:vertAlign w:val="superscript"/>
                <w:lang w:val="en-US"/>
              </w:rPr>
              <w:t>1</w:t>
            </w:r>
          </w:p>
        </w:tc>
      </w:tr>
      <w:tr w:rsidR="006E538E"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6E538E" w:rsidRDefault="006E538E" w:rsidP="00756F63">
            <w:pPr>
              <w:rPr>
                <w:sz w:val="24"/>
                <w:szCs w:val="24"/>
                <w:lang w:val="en-US"/>
              </w:rPr>
            </w:pPr>
            <w:r>
              <w:rPr>
                <w:sz w:val="24"/>
                <w:szCs w:val="24"/>
                <w:lang w:val="en-US"/>
              </w:rPr>
              <w:t>PTSD</w:t>
            </w:r>
          </w:p>
        </w:tc>
        <w:tc>
          <w:tcPr>
            <w:tcW w:w="3578" w:type="dxa"/>
          </w:tcPr>
          <w:p w:rsidR="006E538E" w:rsidRPr="008E603B" w:rsidRDefault="006E538E"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6E538E" w:rsidRPr="006E538E" w:rsidRDefault="006E538E"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6E538E">
              <w:rPr>
                <w:sz w:val="24"/>
                <w:szCs w:val="24"/>
                <w:lang w:val="en-US"/>
              </w:rPr>
              <w:t>Between 8 and 10%</w:t>
            </w:r>
            <w:r w:rsidR="00A70ADD">
              <w:rPr>
                <w:sz w:val="24"/>
                <w:szCs w:val="24"/>
                <w:vertAlign w:val="superscript"/>
                <w:lang w:val="en-US"/>
              </w:rPr>
              <w:t>4,5</w:t>
            </w:r>
          </w:p>
        </w:tc>
      </w:tr>
      <w:tr w:rsidR="00A64A9E"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A64A9E" w:rsidRPr="00A64A9E" w:rsidRDefault="00A64A9E" w:rsidP="00A64A9E">
            <w:pPr>
              <w:rPr>
                <w:sz w:val="24"/>
                <w:szCs w:val="24"/>
                <w:lang w:val="en-US"/>
              </w:rPr>
            </w:pPr>
            <w:r w:rsidRPr="00A64A9E">
              <w:rPr>
                <w:sz w:val="24"/>
                <w:szCs w:val="24"/>
                <w:lang w:val="en-US"/>
              </w:rPr>
              <w:t>Pain/ Discomfort (self-reported, aged 12 and over)</w:t>
            </w:r>
          </w:p>
          <w:p w:rsidR="00A64A9E" w:rsidRPr="00A64A9E" w:rsidRDefault="00A64A9E" w:rsidP="00A64A9E">
            <w:pPr>
              <w:rPr>
                <w:sz w:val="24"/>
                <w:szCs w:val="24"/>
                <w:lang w:val="en-US"/>
              </w:rPr>
            </w:pPr>
            <w:r w:rsidRPr="00A64A9E">
              <w:rPr>
                <w:sz w:val="24"/>
                <w:szCs w:val="24"/>
                <w:lang w:val="en-US"/>
              </w:rPr>
              <w:t xml:space="preserve">-Moderate or Severe Intensity </w:t>
            </w:r>
          </w:p>
          <w:p w:rsidR="00A64A9E" w:rsidRDefault="00A64A9E" w:rsidP="00A64A9E">
            <w:pPr>
              <w:rPr>
                <w:sz w:val="24"/>
                <w:szCs w:val="24"/>
                <w:lang w:val="en-US"/>
              </w:rPr>
            </w:pPr>
            <w:r w:rsidRPr="00A64A9E">
              <w:rPr>
                <w:sz w:val="24"/>
                <w:szCs w:val="24"/>
                <w:lang w:val="en-US"/>
              </w:rPr>
              <w:t>-That Prevents Activities</w:t>
            </w:r>
          </w:p>
        </w:tc>
        <w:tc>
          <w:tcPr>
            <w:tcW w:w="3578" w:type="dxa"/>
          </w:tcPr>
          <w:p w:rsidR="00A64A9E" w:rsidRPr="008E603B" w:rsidRDefault="00A64A9E"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A64A9E" w:rsidRPr="00A64A9E" w:rsidRDefault="00A64A9E" w:rsidP="00A64A9E">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A64A9E">
              <w:rPr>
                <w:sz w:val="24"/>
                <w:szCs w:val="24"/>
                <w:lang w:val="en-US"/>
              </w:rPr>
              <w:t>Moderate or Severe: 13.7%</w:t>
            </w:r>
          </w:p>
          <w:p w:rsidR="00A64A9E" w:rsidRPr="00A64A9E" w:rsidRDefault="00A64A9E" w:rsidP="00A64A9E">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A64A9E">
              <w:rPr>
                <w:sz w:val="24"/>
                <w:szCs w:val="24"/>
                <w:lang w:val="en-US"/>
              </w:rPr>
              <w:t>Prevents activities: 14.7%</w:t>
            </w:r>
            <w:r w:rsidR="00922CF6">
              <w:rPr>
                <w:sz w:val="24"/>
                <w:szCs w:val="24"/>
                <w:vertAlign w:val="superscript"/>
                <w:lang w:val="en-US"/>
              </w:rPr>
              <w:t>5</w:t>
            </w:r>
          </w:p>
        </w:tc>
      </w:tr>
      <w:tr w:rsidR="00A64A9E"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A64A9E" w:rsidRDefault="00A64A9E" w:rsidP="00756F63">
            <w:pPr>
              <w:rPr>
                <w:sz w:val="24"/>
                <w:szCs w:val="24"/>
                <w:lang w:val="en-US"/>
              </w:rPr>
            </w:pPr>
            <w:r w:rsidRPr="00A64A9E">
              <w:rPr>
                <w:sz w:val="24"/>
                <w:szCs w:val="24"/>
                <w:lang w:val="en-US"/>
              </w:rPr>
              <w:t>Generalized Anxiety Disorder</w:t>
            </w:r>
          </w:p>
        </w:tc>
        <w:tc>
          <w:tcPr>
            <w:tcW w:w="3578" w:type="dxa"/>
          </w:tcPr>
          <w:p w:rsidR="00A64A9E" w:rsidRPr="008E603B" w:rsidRDefault="00A64A9E"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A64A9E" w:rsidRPr="00A64A9E" w:rsidRDefault="00A64A9E" w:rsidP="00A64A9E">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A64A9E">
              <w:rPr>
                <w:sz w:val="24"/>
                <w:szCs w:val="24"/>
                <w:lang w:val="en-US"/>
              </w:rPr>
              <w:t>Last 12 months: 2.6%</w:t>
            </w:r>
          </w:p>
          <w:p w:rsidR="00A64A9E" w:rsidRPr="00A64A9E" w:rsidRDefault="00A64A9E" w:rsidP="00A64A9E">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A64A9E">
              <w:rPr>
                <w:sz w:val="24"/>
                <w:szCs w:val="24"/>
                <w:lang w:val="en-US"/>
              </w:rPr>
              <w:t>Lifetime: 8.7%</w:t>
            </w:r>
            <w:r>
              <w:rPr>
                <w:sz w:val="24"/>
                <w:szCs w:val="24"/>
                <w:lang w:val="en-US"/>
              </w:rPr>
              <w:t xml:space="preserve"> </w:t>
            </w:r>
            <w:r w:rsidR="00922CF6">
              <w:rPr>
                <w:sz w:val="24"/>
                <w:szCs w:val="24"/>
                <w:vertAlign w:val="superscript"/>
                <w:lang w:val="en-US"/>
              </w:rPr>
              <w:t>4</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756F63" w:rsidRPr="008E603B" w:rsidRDefault="00A64A9E" w:rsidP="00756F63">
            <w:pPr>
              <w:rPr>
                <w:sz w:val="24"/>
                <w:szCs w:val="24"/>
              </w:rPr>
            </w:pPr>
            <w:r>
              <w:rPr>
                <w:sz w:val="24"/>
                <w:szCs w:val="24"/>
                <w:lang w:val="en-US"/>
              </w:rPr>
              <w:t>Brain I</w:t>
            </w:r>
            <w:r w:rsidR="00756F63" w:rsidRPr="008E603B">
              <w:rPr>
                <w:sz w:val="24"/>
                <w:szCs w:val="24"/>
                <w:lang w:val="en-US"/>
              </w:rPr>
              <w:t>njury</w:t>
            </w:r>
            <w:r>
              <w:rPr>
                <w:sz w:val="24"/>
                <w:szCs w:val="24"/>
                <w:lang w:val="en-US"/>
              </w:rPr>
              <w:t xml:space="preserve"> o</w:t>
            </w:r>
            <w:r w:rsidR="006B63DF">
              <w:rPr>
                <w:sz w:val="24"/>
                <w:szCs w:val="24"/>
                <w:lang w:val="en-US"/>
              </w:rPr>
              <w:t>r</w:t>
            </w:r>
            <w:r>
              <w:rPr>
                <w:sz w:val="24"/>
                <w:szCs w:val="24"/>
                <w:lang w:val="en-US"/>
              </w:rPr>
              <w:t xml:space="preserve"> Concussion</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485E5C" w:rsidRDefault="00485E5C"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rPr>
            </w:pPr>
            <w:r>
              <w:rPr>
                <w:sz w:val="24"/>
                <w:szCs w:val="24"/>
              </w:rPr>
              <w:t>0.4%</w:t>
            </w:r>
            <w:r>
              <w:rPr>
                <w:sz w:val="24"/>
                <w:szCs w:val="24"/>
                <w:vertAlign w:val="superscript"/>
              </w:rPr>
              <w:t>6</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A64A9E" w:rsidRDefault="00A64A9E" w:rsidP="00A64A9E">
            <w:pPr>
              <w:rPr>
                <w:sz w:val="24"/>
                <w:szCs w:val="24"/>
                <w:lang w:val="en-US"/>
              </w:rPr>
            </w:pPr>
            <w:r>
              <w:rPr>
                <w:sz w:val="24"/>
                <w:szCs w:val="24"/>
                <w:lang w:val="en-US"/>
              </w:rPr>
              <w:t xml:space="preserve">HIV </w:t>
            </w:r>
          </w:p>
          <w:p w:rsidR="00756F63" w:rsidRPr="00A64A9E" w:rsidRDefault="00A64A9E" w:rsidP="00A64A9E">
            <w:pPr>
              <w:rPr>
                <w:sz w:val="24"/>
                <w:szCs w:val="24"/>
                <w:lang w:val="en-US"/>
              </w:rPr>
            </w:pPr>
            <w:r w:rsidRPr="00A64A9E">
              <w:rPr>
                <w:sz w:val="24"/>
                <w:szCs w:val="24"/>
                <w:lang w:val="en-US"/>
              </w:rPr>
              <w:t>Rate of positive HIV test reports (all ages)</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470BA6" w:rsidRDefault="00470BA6" w:rsidP="00756F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470BA6">
              <w:rPr>
                <w:sz w:val="24"/>
                <w:szCs w:val="24"/>
              </w:rPr>
              <w:t>5.9 per 100,000 population</w:t>
            </w:r>
            <w:r w:rsidRPr="00470BA6">
              <w:rPr>
                <w:sz w:val="24"/>
                <w:szCs w:val="24"/>
                <w:vertAlign w:val="superscript"/>
              </w:rPr>
              <w:t>7</w:t>
            </w:r>
          </w:p>
        </w:tc>
      </w:tr>
      <w:tr w:rsidR="00756F63" w:rsidRPr="008E603B" w:rsidTr="006B63DF">
        <w:trPr>
          <w:trHeight w:val="364"/>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756F63" w:rsidRPr="008E603B" w:rsidRDefault="00A64A9E" w:rsidP="00756F63">
            <w:pPr>
              <w:rPr>
                <w:sz w:val="24"/>
                <w:szCs w:val="24"/>
              </w:rPr>
            </w:pPr>
            <w:r w:rsidRPr="00A64A9E">
              <w:rPr>
                <w:sz w:val="24"/>
                <w:szCs w:val="24"/>
                <w:lang w:val="en-US"/>
              </w:rPr>
              <w:t>Hepatitis C</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DF63C6" w:rsidRDefault="00DF63C6"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rPr>
            </w:pPr>
            <w:r w:rsidRPr="00DF63C6">
              <w:rPr>
                <w:sz w:val="24"/>
                <w:szCs w:val="24"/>
              </w:rPr>
              <w:t>Crude rate of 0.8%</w:t>
            </w:r>
            <w:r>
              <w:rPr>
                <w:sz w:val="24"/>
                <w:szCs w:val="24"/>
                <w:vertAlign w:val="superscript"/>
              </w:rPr>
              <w:t>8</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hideMark/>
          </w:tcPr>
          <w:p w:rsidR="00756F63" w:rsidRPr="008E603B" w:rsidRDefault="00A64A9E" w:rsidP="00756F63">
            <w:pPr>
              <w:rPr>
                <w:sz w:val="24"/>
                <w:szCs w:val="24"/>
              </w:rPr>
            </w:pPr>
            <w:r>
              <w:rPr>
                <w:sz w:val="24"/>
                <w:szCs w:val="24"/>
                <w:lang w:val="en-US"/>
              </w:rPr>
              <w:t>Heart D</w:t>
            </w:r>
            <w:r w:rsidRPr="00A64A9E">
              <w:rPr>
                <w:sz w:val="24"/>
                <w:szCs w:val="24"/>
                <w:lang w:val="en-US"/>
              </w:rPr>
              <w:t>isease</w:t>
            </w:r>
          </w:p>
        </w:tc>
        <w:tc>
          <w:tcPr>
            <w:tcW w:w="3578" w:type="dxa"/>
            <w:hideMark/>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hideMark/>
          </w:tcPr>
          <w:p w:rsidR="00756F63" w:rsidRPr="00275DEA" w:rsidRDefault="00275DEA" w:rsidP="00756F63">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275DEA">
              <w:rPr>
                <w:sz w:val="24"/>
                <w:szCs w:val="24"/>
                <w:lang w:val="en-US"/>
              </w:rPr>
              <w:t>4.8%</w:t>
            </w:r>
            <w:r>
              <w:rPr>
                <w:sz w:val="24"/>
                <w:szCs w:val="24"/>
                <w:vertAlign w:val="superscript"/>
                <w:lang w:val="en-US"/>
              </w:rPr>
              <w:t>9</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756F63" w:rsidRPr="00A64A9E" w:rsidRDefault="00A64A9E" w:rsidP="00756F63">
            <w:pPr>
              <w:rPr>
                <w:bCs w:val="0"/>
                <w:sz w:val="24"/>
                <w:szCs w:val="24"/>
                <w:lang w:val="en-US"/>
              </w:rPr>
            </w:pPr>
            <w:r>
              <w:rPr>
                <w:bCs w:val="0"/>
                <w:sz w:val="24"/>
                <w:szCs w:val="24"/>
                <w:lang w:val="en-US"/>
              </w:rPr>
              <w:t>High Blood P</w:t>
            </w:r>
            <w:r w:rsidRPr="00A64A9E">
              <w:rPr>
                <w:bCs w:val="0"/>
                <w:sz w:val="24"/>
                <w:szCs w:val="24"/>
                <w:lang w:val="en-US"/>
              </w:rPr>
              <w:t>ressure (self-reported, aged 12 and over)</w:t>
            </w:r>
          </w:p>
        </w:tc>
        <w:tc>
          <w:tcPr>
            <w:tcW w:w="3578" w:type="dxa"/>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756F63" w:rsidRPr="00CB7A47" w:rsidRDefault="00CB7A47" w:rsidP="00CB7A47">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CB7A47">
              <w:rPr>
                <w:sz w:val="24"/>
                <w:szCs w:val="24"/>
                <w:lang w:val="en-US"/>
              </w:rPr>
              <w:t>17.7%</w:t>
            </w:r>
            <w:r>
              <w:rPr>
                <w:sz w:val="24"/>
                <w:szCs w:val="24"/>
                <w:vertAlign w:val="superscript"/>
                <w:lang w:val="en-US"/>
              </w:rPr>
              <w:t>1</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756F63" w:rsidRPr="00A64A9E" w:rsidRDefault="00A64A9E" w:rsidP="00756F63">
            <w:pPr>
              <w:rPr>
                <w:bCs w:val="0"/>
                <w:sz w:val="24"/>
                <w:szCs w:val="24"/>
                <w:lang w:val="en-US"/>
              </w:rPr>
            </w:pPr>
            <w:r w:rsidRPr="00A64A9E">
              <w:rPr>
                <w:bCs w:val="0"/>
                <w:sz w:val="24"/>
                <w:szCs w:val="24"/>
                <w:lang w:val="en-US"/>
              </w:rPr>
              <w:t>Diabetes (self-reported, aged 12 and over)</w:t>
            </w:r>
          </w:p>
        </w:tc>
        <w:tc>
          <w:tcPr>
            <w:tcW w:w="3578" w:type="dxa"/>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756F63" w:rsidRPr="00CB7A47" w:rsidRDefault="00CB7A47" w:rsidP="00CB7A47">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CB7A47">
              <w:rPr>
                <w:sz w:val="24"/>
                <w:szCs w:val="24"/>
                <w:lang w:val="en-US"/>
              </w:rPr>
              <w:t>6.6%</w:t>
            </w:r>
            <w:r>
              <w:rPr>
                <w:sz w:val="24"/>
                <w:szCs w:val="24"/>
                <w:vertAlign w:val="superscript"/>
                <w:lang w:val="en-US"/>
              </w:rPr>
              <w:t>1</w:t>
            </w:r>
          </w:p>
        </w:tc>
      </w:tr>
      <w:tr w:rsidR="00756F63" w:rsidRPr="008E603B" w:rsidTr="006B63DF">
        <w:trPr>
          <w:trHeight w:val="376"/>
        </w:trPr>
        <w:tc>
          <w:tcPr>
            <w:cnfStyle w:val="001000000000" w:firstRow="0" w:lastRow="0" w:firstColumn="1" w:lastColumn="0" w:oddVBand="0" w:evenVBand="0" w:oddHBand="0" w:evenHBand="0" w:firstRowFirstColumn="0" w:firstRowLastColumn="0" w:lastRowFirstColumn="0" w:lastRowLastColumn="0"/>
            <w:tcW w:w="3577" w:type="dxa"/>
            <w:shd w:val="clear" w:color="auto" w:fill="DEEAF6" w:themeFill="accent1" w:themeFillTint="33"/>
          </w:tcPr>
          <w:p w:rsidR="00A64A9E" w:rsidRDefault="00A64A9E" w:rsidP="00A64A9E">
            <w:pPr>
              <w:rPr>
                <w:bCs w:val="0"/>
                <w:sz w:val="24"/>
                <w:szCs w:val="24"/>
                <w:lang w:val="en-US"/>
              </w:rPr>
            </w:pPr>
            <w:r w:rsidRPr="00A64A9E">
              <w:rPr>
                <w:bCs w:val="0"/>
                <w:sz w:val="24"/>
                <w:szCs w:val="24"/>
                <w:lang w:val="en-US"/>
              </w:rPr>
              <w:t>Arthritis/ Rheumatoid arthritis</w:t>
            </w:r>
          </w:p>
          <w:p w:rsidR="00756F63" w:rsidRPr="00A64A9E" w:rsidRDefault="00A64A9E" w:rsidP="00A64A9E">
            <w:pPr>
              <w:rPr>
                <w:bCs w:val="0"/>
                <w:sz w:val="24"/>
                <w:szCs w:val="24"/>
                <w:lang w:val="en-US"/>
              </w:rPr>
            </w:pPr>
            <w:r>
              <w:rPr>
                <w:bCs w:val="0"/>
                <w:sz w:val="24"/>
                <w:szCs w:val="24"/>
                <w:lang w:val="en-US"/>
              </w:rPr>
              <w:t xml:space="preserve">(self-reported, </w:t>
            </w:r>
            <w:r w:rsidRPr="00A64A9E">
              <w:rPr>
                <w:bCs w:val="0"/>
                <w:sz w:val="24"/>
                <w:szCs w:val="24"/>
                <w:lang w:val="en-US"/>
              </w:rPr>
              <w:t>aged 15 and over)</w:t>
            </w:r>
          </w:p>
        </w:tc>
        <w:tc>
          <w:tcPr>
            <w:tcW w:w="3578" w:type="dxa"/>
          </w:tcPr>
          <w:p w:rsidR="00756F63" w:rsidRPr="008E603B" w:rsidRDefault="00756F63" w:rsidP="00756F63">
            <w:pPr>
              <w:cnfStyle w:val="000000000000" w:firstRow="0" w:lastRow="0" w:firstColumn="0" w:lastColumn="0" w:oddVBand="0" w:evenVBand="0" w:oddHBand="0" w:evenHBand="0" w:firstRowFirstColumn="0" w:firstRowLastColumn="0" w:lastRowFirstColumn="0" w:lastRowLastColumn="0"/>
              <w:rPr>
                <w:sz w:val="24"/>
                <w:szCs w:val="24"/>
              </w:rPr>
            </w:pPr>
          </w:p>
        </w:tc>
        <w:tc>
          <w:tcPr>
            <w:tcW w:w="3578" w:type="dxa"/>
          </w:tcPr>
          <w:p w:rsidR="00756F63" w:rsidRPr="00CB7A47" w:rsidRDefault="00CB7A47" w:rsidP="00CB7A47">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CB7A47">
              <w:rPr>
                <w:sz w:val="24"/>
                <w:szCs w:val="24"/>
                <w:lang w:val="en-US"/>
              </w:rPr>
              <w:t>15.9%</w:t>
            </w:r>
            <w:r>
              <w:rPr>
                <w:sz w:val="24"/>
                <w:szCs w:val="24"/>
                <w:vertAlign w:val="superscript"/>
                <w:lang w:val="en-US"/>
              </w:rPr>
              <w:t>1</w:t>
            </w:r>
          </w:p>
        </w:tc>
      </w:tr>
    </w:tbl>
    <w:p w:rsidR="008D1A51" w:rsidRDefault="008D1A51" w:rsidP="008D1A51">
      <w:pPr>
        <w:rPr>
          <w:sz w:val="24"/>
          <w:szCs w:val="24"/>
        </w:rPr>
      </w:pPr>
    </w:p>
    <w:p w:rsidR="00732F0A" w:rsidRDefault="00732F0A" w:rsidP="008D1A51">
      <w:pPr>
        <w:rPr>
          <w:sz w:val="24"/>
          <w:szCs w:val="24"/>
        </w:rPr>
      </w:pPr>
    </w:p>
    <w:p w:rsidR="00AA3435" w:rsidRDefault="00AA3435" w:rsidP="008D1A51">
      <w:pPr>
        <w:rPr>
          <w:sz w:val="24"/>
          <w:szCs w:val="24"/>
        </w:rPr>
      </w:pPr>
    </w:p>
    <w:p w:rsidR="008D1A51" w:rsidRPr="008E603B" w:rsidRDefault="00AA3435" w:rsidP="008D1A51">
      <w:pPr>
        <w:rPr>
          <w:sz w:val="24"/>
          <w:szCs w:val="24"/>
        </w:rPr>
      </w:pPr>
      <w:r w:rsidRPr="008E603B">
        <w:rPr>
          <w:noProof/>
          <w:sz w:val="24"/>
          <w:szCs w:val="24"/>
          <w:lang w:val="en-US"/>
        </w:rPr>
        <w:lastRenderedPageBreak/>
        <mc:AlternateContent>
          <mc:Choice Requires="wps">
            <w:drawing>
              <wp:anchor distT="0" distB="0" distL="114300" distR="114300" simplePos="0" relativeHeight="251667456" behindDoc="0" locked="0" layoutInCell="1" allowOverlap="1" wp14:anchorId="028C7698" wp14:editId="61AE5E9D">
                <wp:simplePos x="0" y="0"/>
                <wp:positionH relativeFrom="margin">
                  <wp:align>right</wp:align>
                </wp:positionH>
                <wp:positionV relativeFrom="paragraph">
                  <wp:posOffset>9525</wp:posOffset>
                </wp:positionV>
                <wp:extent cx="5773420" cy="742950"/>
                <wp:effectExtent l="0" t="0" r="0" b="0"/>
                <wp:wrapNone/>
                <wp:docPr id="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73420" cy="742950"/>
                        </a:xfrm>
                        <a:prstGeom prst="rect">
                          <a:avLst/>
                        </a:prstGeom>
                        <a:solidFill>
                          <a:schemeClr val="accent5">
                            <a:lumMod val="60000"/>
                            <a:lumOff val="40000"/>
                          </a:schemeClr>
                        </a:solidFill>
                      </wps:spPr>
                      <wps:txbx>
                        <w:txbxContent>
                          <w:p w:rsidR="00350E1D" w:rsidRPr="00AA3435" w:rsidRDefault="00AA3435" w:rsidP="008E603B">
                            <w:pPr>
                              <w:pStyle w:val="NormalWeb"/>
                              <w:shd w:val="clear" w:color="auto" w:fill="FFFFFF" w:themeFill="background1"/>
                              <w:spacing w:before="0" w:beforeAutospacing="0" w:after="0" w:afterAutospacing="0" w:line="216" w:lineRule="auto"/>
                              <w:jc w:val="center"/>
                              <w:rPr>
                                <w:sz w:val="14"/>
                              </w:rPr>
                            </w:pPr>
                            <w:r>
                              <w:rPr>
                                <w:rFonts w:asciiTheme="minorHAnsi" w:eastAsiaTheme="majorEastAsia" w:hAnsi="Calibri" w:cstheme="majorBidi"/>
                                <w:b/>
                                <w:bCs/>
                                <w:color w:val="323E4F" w:themeColor="text2" w:themeShade="BF"/>
                                <w:kern w:val="24"/>
                                <w:sz w:val="36"/>
                                <w:szCs w:val="56"/>
                                <w:lang w:val="en-US"/>
                              </w:rPr>
                              <w:t>Socio-demographic c</w:t>
                            </w:r>
                            <w:r w:rsidR="008E603B" w:rsidRPr="00AA3435">
                              <w:rPr>
                                <w:rFonts w:asciiTheme="minorHAnsi" w:eastAsiaTheme="majorEastAsia" w:hAnsi="Calibri" w:cstheme="majorBidi"/>
                                <w:b/>
                                <w:bCs/>
                                <w:color w:val="323E4F" w:themeColor="text2" w:themeShade="BF"/>
                                <w:kern w:val="24"/>
                                <w:sz w:val="36"/>
                                <w:szCs w:val="56"/>
                                <w:lang w:val="en-US"/>
                              </w:rPr>
                              <w:t>haracteristics</w:t>
                            </w:r>
                            <w:r w:rsidRPr="00AA3435">
                              <w:rPr>
                                <w:rFonts w:asciiTheme="minorHAnsi" w:eastAsiaTheme="majorEastAsia" w:hAnsi="Calibri" w:cstheme="majorBidi"/>
                                <w:b/>
                                <w:bCs/>
                                <w:color w:val="323E4F" w:themeColor="text2" w:themeShade="BF"/>
                                <w:kern w:val="24"/>
                                <w:sz w:val="36"/>
                                <w:szCs w:val="56"/>
                                <w:lang w:val="en-US"/>
                              </w:rPr>
                              <w:t xml:space="preserve"> compared to Canadian Population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28C7698" id="_x0000_s1028" style="position:absolute;margin-left:403.4pt;margin-top:.75pt;width:454.6pt;height:5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" fillcolor="#8eaadb [1944]" stroked="f">
                <v:path arrowok="t"/>
                <o:lock v:ext="edit" grouping="t"/>
                <v:textbox>
                  <w:txbxContent>
                    <w:p w:rsidR="00350E1D" w:rsidRPr="00AA3435" w:rsidRDefault="00AA3435" w:rsidP="008E603B">
                      <w:pPr>
                        <w:pStyle w:val="NormalWeb"/>
                        <w:shd w:val="clear" w:color="auto" w:fill="FFFFFF" w:themeFill="background1"/>
                        <w:spacing w:before="0" w:beforeAutospacing="0" w:after="0" w:afterAutospacing="0" w:line="216" w:lineRule="auto"/>
                        <w:jc w:val="center"/>
                        <w:rPr>
                          <w:sz w:val="14"/>
                        </w:rPr>
                      </w:pPr>
                      <w:r>
                        <w:rPr>
                          <w:rFonts w:asciiTheme="minorHAnsi" w:eastAsiaTheme="majorEastAsia" w:hAnsi="Calibri" w:cstheme="majorBidi"/>
                          <w:b/>
                          <w:bCs/>
                          <w:color w:val="323E4F" w:themeColor="text2" w:themeShade="BF"/>
                          <w:kern w:val="24"/>
                          <w:sz w:val="36"/>
                          <w:szCs w:val="56"/>
                          <w:lang w:val="en-US"/>
                        </w:rPr>
                        <w:t>Socio-demographic c</w:t>
                      </w:r>
                      <w:r w:rsidR="008E603B" w:rsidRPr="00AA3435">
                        <w:rPr>
                          <w:rFonts w:asciiTheme="minorHAnsi" w:eastAsiaTheme="majorEastAsia" w:hAnsi="Calibri" w:cstheme="majorBidi"/>
                          <w:b/>
                          <w:bCs/>
                          <w:color w:val="323E4F" w:themeColor="text2" w:themeShade="BF"/>
                          <w:kern w:val="24"/>
                          <w:sz w:val="36"/>
                          <w:szCs w:val="56"/>
                          <w:lang w:val="en-US"/>
                        </w:rPr>
                        <w:t>haracteristics</w:t>
                      </w:r>
                      <w:r w:rsidRPr="00AA3435">
                        <w:rPr>
                          <w:rFonts w:asciiTheme="minorHAnsi" w:eastAsiaTheme="majorEastAsia" w:hAnsi="Calibri" w:cstheme="majorBidi"/>
                          <w:b/>
                          <w:bCs/>
                          <w:color w:val="323E4F" w:themeColor="text2" w:themeShade="BF"/>
                          <w:kern w:val="24"/>
                          <w:sz w:val="36"/>
                          <w:szCs w:val="56"/>
                          <w:lang w:val="en-US"/>
                        </w:rPr>
                        <w:t xml:space="preserve"> compared to Canadian Population</w:t>
                      </w:r>
                    </w:p>
                  </w:txbxContent>
                </v:textbox>
                <w10:wrap anchorx="margin"/>
              </v:rect>
            </w:pict>
          </mc:Fallback>
        </mc:AlternateContent>
      </w:r>
    </w:p>
    <w:p w:rsidR="008E603B" w:rsidRDefault="008E603B" w:rsidP="008E603B">
      <w:pPr>
        <w:rPr>
          <w:rFonts w:cs="Times New Roman"/>
          <w:sz w:val="24"/>
          <w:szCs w:val="24"/>
        </w:rPr>
      </w:pPr>
    </w:p>
    <w:p w:rsidR="00AA3435" w:rsidRDefault="00AA3435" w:rsidP="008E603B">
      <w:pPr>
        <w:rPr>
          <w:rFonts w:cs="Times New Roman"/>
          <w:sz w:val="24"/>
          <w:szCs w:val="24"/>
        </w:rPr>
      </w:pPr>
    </w:p>
    <w:tbl>
      <w:tblPr>
        <w:tblStyle w:val="GridTable1Light"/>
        <w:tblW w:w="9493" w:type="dxa"/>
        <w:tblLook w:val="04A0" w:firstRow="1" w:lastRow="0" w:firstColumn="1" w:lastColumn="0" w:noHBand="0" w:noVBand="1"/>
      </w:tblPr>
      <w:tblGrid>
        <w:gridCol w:w="4679"/>
        <w:gridCol w:w="2126"/>
        <w:gridCol w:w="1344"/>
        <w:gridCol w:w="1344"/>
      </w:tblGrid>
      <w:tr w:rsidR="008E603B" w:rsidRPr="008E603B" w:rsidTr="00E50A00">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679" w:type="dxa"/>
            <w:shd w:val="clear" w:color="auto" w:fill="BDD6EE" w:themeFill="accent1" w:themeFillTint="66"/>
          </w:tcPr>
          <w:p w:rsidR="008E603B" w:rsidRPr="008E603B" w:rsidRDefault="008E603B" w:rsidP="00CB77A2">
            <w:pPr>
              <w:spacing w:before="40" w:beforeAutospacing="1" w:after="40" w:afterAutospacing="1"/>
              <w:contextualSpacing/>
              <w:rPr>
                <w:rFonts w:eastAsia="Calibri" w:cs="Times New Roman"/>
                <w:sz w:val="24"/>
                <w:szCs w:val="24"/>
              </w:rPr>
            </w:pPr>
          </w:p>
        </w:tc>
        <w:tc>
          <w:tcPr>
            <w:tcW w:w="2126" w:type="dxa"/>
            <w:shd w:val="clear" w:color="auto" w:fill="BDD6EE" w:themeFill="accent1" w:themeFillTint="66"/>
          </w:tcPr>
          <w:p w:rsidR="008E603B" w:rsidRPr="008E603B" w:rsidRDefault="008E603B" w:rsidP="00CB77A2">
            <w:pPr>
              <w:spacing w:before="40" w:beforeAutospacing="1" w:after="40" w:afterAutospacing="1"/>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Your Clinic</w:t>
            </w:r>
          </w:p>
        </w:tc>
        <w:tc>
          <w:tcPr>
            <w:tcW w:w="2688" w:type="dxa"/>
            <w:gridSpan w:val="2"/>
            <w:shd w:val="clear" w:color="auto" w:fill="BDD6EE" w:themeFill="accent1" w:themeFillTint="66"/>
          </w:tcPr>
          <w:p w:rsidR="008E603B" w:rsidRPr="008E603B" w:rsidRDefault="008E603B" w:rsidP="004369BE">
            <w:pPr>
              <w:spacing w:before="40" w:beforeAutospacing="1" w:after="40" w:afterAutospacing="1"/>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Population Comparison</w:t>
            </w:r>
          </w:p>
        </w:tc>
      </w:tr>
      <w:tr w:rsidR="004369BE" w:rsidRPr="008E603B" w:rsidTr="00DC4654">
        <w:trPr>
          <w:trHeight w:val="150"/>
        </w:trPr>
        <w:tc>
          <w:tcPr>
            <w:cnfStyle w:val="001000000000" w:firstRow="0" w:lastRow="0" w:firstColumn="1" w:lastColumn="0" w:oddVBand="0" w:evenVBand="0" w:oddHBand="0" w:evenHBand="0" w:firstRowFirstColumn="0" w:firstRowLastColumn="0" w:lastRowFirstColumn="0" w:lastRowLastColumn="0"/>
            <w:tcW w:w="4679" w:type="dxa"/>
            <w:shd w:val="clear" w:color="auto" w:fill="BDD6EE" w:themeFill="accent1" w:themeFillTint="66"/>
          </w:tcPr>
          <w:p w:rsidR="004369BE" w:rsidRPr="008E603B" w:rsidRDefault="004369BE" w:rsidP="00CB77A2">
            <w:pPr>
              <w:spacing w:before="40" w:beforeAutospacing="1" w:after="40" w:afterAutospacing="1"/>
              <w:contextualSpacing/>
              <w:rPr>
                <w:rFonts w:eastAsia="Calibri" w:cs="Times New Roman"/>
                <w:bCs w:val="0"/>
                <w:sz w:val="24"/>
                <w:szCs w:val="24"/>
              </w:rPr>
            </w:pPr>
            <w:r w:rsidRPr="008E603B">
              <w:rPr>
                <w:rFonts w:eastAsia="Calibri" w:cs="Times New Roman"/>
                <w:bCs w:val="0"/>
                <w:sz w:val="24"/>
                <w:szCs w:val="24"/>
              </w:rPr>
              <w:t>Characteristic</w:t>
            </w:r>
          </w:p>
        </w:tc>
        <w:tc>
          <w:tcPr>
            <w:tcW w:w="2126" w:type="dxa"/>
            <w:shd w:val="clear" w:color="auto" w:fill="BDD6EE" w:themeFill="accent1" w:themeFillTint="66"/>
          </w:tcPr>
          <w:p w:rsidR="004369BE" w:rsidRPr="008E603B" w:rsidRDefault="004369BE" w:rsidP="004369BE">
            <w:pPr>
              <w:spacing w:before="40" w:beforeAutospacing="1" w:after="40" w:afterAutospacing="1"/>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i/>
                <w:sz w:val="24"/>
                <w:szCs w:val="24"/>
              </w:rPr>
              <w:t>%</w:t>
            </w:r>
          </w:p>
        </w:tc>
        <w:tc>
          <w:tcPr>
            <w:tcW w:w="2688" w:type="dxa"/>
            <w:gridSpan w:val="2"/>
            <w:shd w:val="clear" w:color="auto" w:fill="BDD6EE" w:themeFill="accent1" w:themeFillTint="66"/>
          </w:tcPr>
          <w:p w:rsidR="004369BE" w:rsidRPr="008E603B" w:rsidRDefault="004369BE" w:rsidP="00CB77A2">
            <w:pPr>
              <w:spacing w:before="40" w:beforeAutospacing="1" w:after="40" w:afterAutospacing="1"/>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w:t>
            </w:r>
          </w:p>
        </w:tc>
      </w:tr>
      <w:tr w:rsidR="004369BE" w:rsidRPr="008E603B" w:rsidTr="004369BE">
        <w:trPr>
          <w:trHeight w:val="1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t>Gender</w:t>
            </w:r>
          </w:p>
          <w:p w:rsidR="004369BE" w:rsidRPr="008E603B" w:rsidRDefault="004369BE" w:rsidP="00CB77A2">
            <w:pPr>
              <w:spacing w:before="60" w:afterLines="60" w:after="144"/>
              <w:ind w:left="316"/>
              <w:contextualSpacing/>
              <w:rPr>
                <w:rFonts w:eastAsia="Calibri" w:cs="Times New Roman"/>
                <w:b w:val="0"/>
                <w:bCs w:val="0"/>
                <w:sz w:val="24"/>
                <w:szCs w:val="24"/>
              </w:rPr>
            </w:pPr>
            <w:r w:rsidRPr="008E603B">
              <w:rPr>
                <w:rFonts w:eastAsia="Calibri" w:cs="Times New Roman"/>
                <w:b w:val="0"/>
                <w:bCs w:val="0"/>
                <w:sz w:val="24"/>
                <w:szCs w:val="24"/>
              </w:rPr>
              <w:t>Male</w:t>
            </w:r>
          </w:p>
          <w:p w:rsidR="004369BE" w:rsidRPr="008E603B" w:rsidRDefault="004369BE" w:rsidP="00CB77A2">
            <w:pPr>
              <w:spacing w:before="60" w:afterLines="60" w:after="144"/>
              <w:ind w:left="316"/>
              <w:contextualSpacing/>
              <w:rPr>
                <w:rFonts w:eastAsia="Calibri" w:cs="Times New Roman"/>
                <w:b w:val="0"/>
                <w:bCs w:val="0"/>
                <w:sz w:val="24"/>
                <w:szCs w:val="24"/>
              </w:rPr>
            </w:pPr>
            <w:r w:rsidRPr="008E603B">
              <w:rPr>
                <w:rFonts w:eastAsia="Calibri" w:cs="Times New Roman"/>
                <w:b w:val="0"/>
                <w:bCs w:val="0"/>
                <w:sz w:val="24"/>
                <w:szCs w:val="24"/>
              </w:rPr>
              <w:t>Female</w:t>
            </w:r>
          </w:p>
          <w:p w:rsidR="004369BE" w:rsidRPr="008E603B" w:rsidRDefault="004369BE" w:rsidP="00CB77A2">
            <w:pPr>
              <w:spacing w:before="60" w:afterLines="60" w:after="144"/>
              <w:ind w:left="316"/>
              <w:contextualSpacing/>
              <w:rPr>
                <w:rFonts w:eastAsia="Calibri" w:cs="Times New Roman"/>
                <w:b w:val="0"/>
                <w:bCs w:val="0"/>
                <w:sz w:val="24"/>
                <w:szCs w:val="24"/>
              </w:rPr>
            </w:pPr>
            <w:r w:rsidRPr="008E603B">
              <w:rPr>
                <w:rFonts w:eastAsia="Calibri" w:cs="Times New Roman"/>
                <w:b w:val="0"/>
                <w:bCs w:val="0"/>
                <w:sz w:val="24"/>
                <w:szCs w:val="24"/>
              </w:rPr>
              <w:t>Transgender</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4369BE" w:rsidRPr="00472B1C"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vertAlign w:val="superscript"/>
              </w:rPr>
            </w:pPr>
            <w:r w:rsidRPr="00472B1C">
              <w:rPr>
                <w:rFonts w:eastAsia="Calibri" w:cs="Times New Roman"/>
                <w:sz w:val="24"/>
                <w:szCs w:val="24"/>
              </w:rPr>
              <w:t>49%</w:t>
            </w:r>
            <w:r w:rsidR="00732F0A" w:rsidRPr="00472B1C">
              <w:rPr>
                <w:rStyle w:val="EndnoteReference"/>
              </w:rPr>
              <w:t>1</w:t>
            </w:r>
            <w:r w:rsidR="00732F0A" w:rsidRPr="00472B1C">
              <w:rPr>
                <w:vertAlign w:val="superscript"/>
              </w:rPr>
              <w:t>0</w:t>
            </w:r>
          </w:p>
          <w:p w:rsidR="004369BE"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vertAlign w:val="superscript"/>
              </w:rPr>
            </w:pPr>
            <w:r w:rsidRPr="00472B1C">
              <w:rPr>
                <w:rFonts w:eastAsia="Calibri" w:cs="Times New Roman"/>
                <w:sz w:val="24"/>
                <w:szCs w:val="24"/>
              </w:rPr>
              <w:t>51%</w:t>
            </w:r>
            <w:r w:rsidR="00732F0A" w:rsidRPr="00472B1C">
              <w:rPr>
                <w:rStyle w:val="EndnoteReference"/>
              </w:rPr>
              <w:t>1</w:t>
            </w:r>
            <w:r w:rsidR="00732F0A" w:rsidRPr="00472B1C">
              <w:rPr>
                <w:vertAlign w:val="superscript"/>
              </w:rPr>
              <w:t>0</w:t>
            </w:r>
          </w:p>
          <w:p w:rsidR="00882F6B" w:rsidRPr="008E603B" w:rsidRDefault="00882F6B"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vertAlign w:val="superscript"/>
              </w:rPr>
              <w:t>a</w:t>
            </w:r>
          </w:p>
        </w:tc>
      </w:tr>
      <w:tr w:rsidR="004369BE" w:rsidRPr="008E603B" w:rsidTr="004369BE">
        <w:trPr>
          <w:trHeight w:val="1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t>Aboriginal Identity</w:t>
            </w:r>
          </w:p>
          <w:p w:rsidR="004369BE" w:rsidRPr="008E603B" w:rsidRDefault="004369BE" w:rsidP="00CB77A2">
            <w:pPr>
              <w:spacing w:before="60" w:afterLines="60" w:after="144"/>
              <w:ind w:left="316"/>
              <w:contextualSpacing/>
              <w:rPr>
                <w:rFonts w:eastAsia="Calibri" w:cs="Times New Roman"/>
                <w:b w:val="0"/>
                <w:bCs w:val="0"/>
                <w:sz w:val="24"/>
                <w:szCs w:val="24"/>
              </w:rPr>
            </w:pPr>
            <w:r w:rsidRPr="008E603B">
              <w:rPr>
                <w:rFonts w:eastAsia="Calibri" w:cs="Times New Roman"/>
                <w:b w:val="0"/>
                <w:bCs w:val="0"/>
                <w:sz w:val="24"/>
                <w:szCs w:val="24"/>
              </w:rPr>
              <w:t>Yes</w:t>
            </w:r>
          </w:p>
          <w:p w:rsidR="004369BE" w:rsidRPr="008E603B" w:rsidRDefault="004369BE" w:rsidP="00CB77A2">
            <w:pPr>
              <w:spacing w:before="60" w:afterLines="60" w:after="144"/>
              <w:ind w:left="316"/>
              <w:contextualSpacing/>
              <w:rPr>
                <w:rFonts w:eastAsia="Calibri" w:cs="Times New Roman"/>
                <w:b w:val="0"/>
                <w:bCs w:val="0"/>
                <w:sz w:val="24"/>
                <w:szCs w:val="24"/>
              </w:rPr>
            </w:pPr>
            <w:r w:rsidRPr="008E603B">
              <w:rPr>
                <w:rFonts w:eastAsia="Calibri" w:cs="Times New Roman"/>
                <w:b w:val="0"/>
                <w:bCs w:val="0"/>
                <w:sz w:val="24"/>
                <w:szCs w:val="24"/>
              </w:rPr>
              <w:t>No</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4369BE" w:rsidRPr="00D93933"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D93933">
              <w:rPr>
                <w:rFonts w:eastAsia="Calibri" w:cs="Times New Roman"/>
                <w:sz w:val="24"/>
                <w:szCs w:val="24"/>
              </w:rPr>
              <w:t>4.4%</w:t>
            </w:r>
            <w:r w:rsidR="00732F0A" w:rsidRPr="00D93933">
              <w:rPr>
                <w:rStyle w:val="EndnoteReference"/>
              </w:rPr>
              <w:t>1</w:t>
            </w:r>
            <w:r w:rsidR="00732F0A" w:rsidRPr="00D93933">
              <w:rPr>
                <w:vertAlign w:val="superscript"/>
              </w:rPr>
              <w:t>0</w:t>
            </w: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r>
      <w:tr w:rsidR="00D93933" w:rsidRPr="008E603B" w:rsidTr="004369BE">
        <w:trPr>
          <w:trHeight w:val="1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8A31AE" w:rsidRPr="008E603B" w:rsidRDefault="008A31AE" w:rsidP="008A31AE">
            <w:pPr>
              <w:spacing w:before="60" w:afterLines="60" w:after="144"/>
              <w:contextualSpacing/>
              <w:rPr>
                <w:rFonts w:eastAsia="Calibri" w:cs="Times New Roman"/>
                <w:bCs w:val="0"/>
                <w:sz w:val="24"/>
                <w:szCs w:val="24"/>
              </w:rPr>
            </w:pPr>
            <w:r w:rsidRPr="008E603B">
              <w:rPr>
                <w:rFonts w:eastAsia="Calibri" w:cs="Times New Roman"/>
                <w:bCs w:val="0"/>
                <w:sz w:val="24"/>
                <w:szCs w:val="24"/>
              </w:rPr>
              <w:t>Aboriginal Identity</w:t>
            </w:r>
          </w:p>
          <w:p w:rsidR="00D93933" w:rsidRDefault="008A31AE" w:rsidP="00CB77A2">
            <w:pPr>
              <w:spacing w:before="60" w:afterLines="60" w:after="144"/>
              <w:contextualSpacing/>
              <w:rPr>
                <w:rFonts w:eastAsia="Calibri" w:cs="Times New Roman"/>
                <w:b w:val="0"/>
                <w:sz w:val="24"/>
                <w:szCs w:val="24"/>
              </w:rPr>
            </w:pPr>
            <w:r>
              <w:rPr>
                <w:rFonts w:eastAsia="Calibri" w:cs="Times New Roman"/>
                <w:b w:val="0"/>
                <w:sz w:val="24"/>
                <w:szCs w:val="24"/>
              </w:rPr>
              <w:t>First Nations</w:t>
            </w:r>
          </w:p>
          <w:p w:rsidR="008A31AE" w:rsidRDefault="008A31AE" w:rsidP="00CB77A2">
            <w:pPr>
              <w:spacing w:before="60" w:afterLines="60" w:after="144"/>
              <w:contextualSpacing/>
              <w:rPr>
                <w:rFonts w:eastAsia="Calibri" w:cs="Times New Roman"/>
                <w:b w:val="0"/>
                <w:sz w:val="24"/>
                <w:szCs w:val="24"/>
              </w:rPr>
            </w:pPr>
            <w:r w:rsidRPr="008A31AE">
              <w:rPr>
                <w:rFonts w:eastAsia="Calibri" w:cs="Times New Roman"/>
                <w:b w:val="0"/>
                <w:sz w:val="24"/>
                <w:szCs w:val="24"/>
              </w:rPr>
              <w:t>Métis</w:t>
            </w:r>
          </w:p>
          <w:p w:rsidR="008A31AE" w:rsidRPr="008A31AE" w:rsidRDefault="008A31AE" w:rsidP="00CB77A2">
            <w:pPr>
              <w:spacing w:before="60" w:afterLines="60" w:after="144"/>
              <w:contextualSpacing/>
              <w:rPr>
                <w:rFonts w:eastAsia="Calibri" w:cs="Times New Roman"/>
                <w:b w:val="0"/>
                <w:sz w:val="24"/>
                <w:szCs w:val="24"/>
              </w:rPr>
            </w:pPr>
            <w:r>
              <w:rPr>
                <w:rFonts w:eastAsia="Calibri" w:cs="Times New Roman"/>
                <w:b w:val="0"/>
                <w:sz w:val="24"/>
                <w:szCs w:val="24"/>
              </w:rPr>
              <w:t>Inuit</w:t>
            </w:r>
          </w:p>
        </w:tc>
        <w:tc>
          <w:tcPr>
            <w:tcW w:w="2126" w:type="dxa"/>
            <w:shd w:val="clear" w:color="auto" w:fill="FFFFFF" w:themeFill="background1"/>
          </w:tcPr>
          <w:p w:rsidR="00D93933" w:rsidRPr="008E603B" w:rsidRDefault="00D93933"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8A31AE" w:rsidRDefault="008A31A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D93933" w:rsidRDefault="00D93933"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2.6%</w:t>
            </w:r>
            <w:r w:rsidR="00C874DB" w:rsidRPr="00D93933">
              <w:rPr>
                <w:rStyle w:val="EndnoteReference"/>
              </w:rPr>
              <w:t>1</w:t>
            </w:r>
            <w:r w:rsidR="00C874DB">
              <w:rPr>
                <w:vertAlign w:val="superscript"/>
              </w:rPr>
              <w:t>1</w:t>
            </w:r>
          </w:p>
          <w:p w:rsidR="008A31AE" w:rsidRDefault="008A31A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1.4%</w:t>
            </w:r>
            <w:r w:rsidR="00C874DB" w:rsidRPr="00D93933">
              <w:rPr>
                <w:rStyle w:val="EndnoteReference"/>
              </w:rPr>
              <w:t>1</w:t>
            </w:r>
            <w:r w:rsidR="00C874DB">
              <w:rPr>
                <w:vertAlign w:val="superscript"/>
              </w:rPr>
              <w:t>1</w:t>
            </w:r>
          </w:p>
          <w:p w:rsidR="008A31AE" w:rsidRPr="008E603B" w:rsidRDefault="008A31A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0.2%</w:t>
            </w:r>
            <w:r w:rsidR="00C874DB" w:rsidRPr="00D93933">
              <w:rPr>
                <w:rStyle w:val="EndnoteReference"/>
              </w:rPr>
              <w:t>1</w:t>
            </w:r>
            <w:r w:rsidR="00C874DB">
              <w:rPr>
                <w:vertAlign w:val="superscript"/>
              </w:rPr>
              <w:t>1</w:t>
            </w:r>
          </w:p>
        </w:tc>
      </w:tr>
      <w:tr w:rsidR="004369BE" w:rsidRPr="008E603B" w:rsidTr="004369BE">
        <w:trPr>
          <w:trHeight w:val="1311"/>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t>Employment Status</w:t>
            </w:r>
          </w:p>
          <w:p w:rsidR="004369BE" w:rsidRPr="008E603B" w:rsidRDefault="004369BE" w:rsidP="00CB77A2">
            <w:pPr>
              <w:spacing w:before="60" w:afterLines="60" w:after="144"/>
              <w:ind w:left="367"/>
              <w:contextualSpacing/>
              <w:rPr>
                <w:rFonts w:eastAsia="Calibri" w:cs="Times New Roman"/>
                <w:b w:val="0"/>
                <w:bCs w:val="0"/>
                <w:sz w:val="24"/>
                <w:szCs w:val="24"/>
                <w:vertAlign w:val="superscript"/>
              </w:rPr>
            </w:pPr>
            <w:r w:rsidRPr="008E603B">
              <w:rPr>
                <w:rFonts w:eastAsia="Calibri" w:cs="Times New Roman"/>
                <w:b w:val="0"/>
                <w:bCs w:val="0"/>
                <w:sz w:val="24"/>
                <w:szCs w:val="24"/>
              </w:rPr>
              <w:t>Employed</w:t>
            </w:r>
            <w:r w:rsidR="00882F6B">
              <w:rPr>
                <w:rFonts w:eastAsia="Calibri" w:cs="Times New Roman"/>
                <w:b w:val="0"/>
                <w:bCs w:val="0"/>
                <w:sz w:val="24"/>
                <w:szCs w:val="24"/>
                <w:vertAlign w:val="superscript"/>
              </w:rPr>
              <w:t>b</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Unemployed</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Other</w:t>
            </w:r>
            <w:r w:rsidR="00882F6B">
              <w:rPr>
                <w:rFonts w:eastAsia="Calibri" w:cs="Times New Roman"/>
                <w:b w:val="0"/>
                <w:bCs w:val="0"/>
                <w:sz w:val="24"/>
                <w:szCs w:val="24"/>
                <w:vertAlign w:val="superscript"/>
              </w:rPr>
              <w:t>c</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60.9%</w:t>
            </w:r>
            <w:r w:rsidR="00732F0A">
              <w:rPr>
                <w:rStyle w:val="EndnoteReference"/>
              </w:rPr>
              <w:t>1</w:t>
            </w:r>
            <w:r w:rsidR="00732F0A" w:rsidRPr="00732F0A">
              <w:rPr>
                <w:vertAlign w:val="superscript"/>
              </w:rPr>
              <w:t>0</w:t>
            </w: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7.8%</w:t>
            </w:r>
            <w:r w:rsidR="009701DA">
              <w:rPr>
                <w:rFonts w:eastAsia="Calibri" w:cs="Times New Roman"/>
                <w:sz w:val="24"/>
                <w:szCs w:val="24"/>
                <w:vertAlign w:val="superscript"/>
              </w:rPr>
              <w:t>13</w:t>
            </w: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r>
      <w:tr w:rsidR="004369BE" w:rsidRPr="008E603B" w:rsidTr="004369BE">
        <w:trPr>
          <w:trHeight w:val="1415"/>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t>Highest Educational Level Completed</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Less than high school</w:t>
            </w:r>
          </w:p>
          <w:p w:rsidR="004369BE"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Completed high school</w:t>
            </w:r>
          </w:p>
          <w:p w:rsidR="004369BE" w:rsidRPr="008E603B" w:rsidRDefault="004369BE" w:rsidP="00CB77A2">
            <w:pPr>
              <w:spacing w:before="60" w:afterLines="60" w:after="144"/>
              <w:ind w:left="367"/>
              <w:contextualSpacing/>
              <w:rPr>
                <w:rFonts w:eastAsia="Calibri" w:cs="Times New Roman"/>
                <w:b w:val="0"/>
                <w:bCs w:val="0"/>
                <w:sz w:val="24"/>
                <w:szCs w:val="24"/>
              </w:rPr>
            </w:pPr>
            <w:r>
              <w:rPr>
                <w:rFonts w:eastAsia="Calibri" w:cs="Times New Roman"/>
                <w:b w:val="0"/>
                <w:bCs w:val="0"/>
                <w:sz w:val="24"/>
                <w:szCs w:val="24"/>
              </w:rPr>
              <w:t>Trade/ technical school</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 xml:space="preserve">College Certificate or Diploma </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 xml:space="preserve">University Degree </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11.5%</w:t>
            </w:r>
            <w:r w:rsidR="009701DA">
              <w:rPr>
                <w:rStyle w:val="EndnoteReference"/>
              </w:rPr>
              <w:t>14</w:t>
            </w:r>
          </w:p>
          <w:p w:rsidR="004369BE"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vertAlign w:val="superscript"/>
              </w:rPr>
            </w:pPr>
            <w:r>
              <w:rPr>
                <w:rFonts w:eastAsia="Calibri" w:cs="Times New Roman"/>
                <w:sz w:val="24"/>
                <w:szCs w:val="24"/>
              </w:rPr>
              <w:t>23.7</w:t>
            </w:r>
            <w:r w:rsidRPr="008E603B">
              <w:rPr>
                <w:rFonts w:eastAsia="Calibri" w:cs="Times New Roman"/>
                <w:sz w:val="24"/>
                <w:szCs w:val="24"/>
              </w:rPr>
              <w:t>%</w:t>
            </w:r>
            <w:r>
              <w:rPr>
                <w:rStyle w:val="EndnoteReference"/>
              </w:rPr>
              <w:t xml:space="preserve"> </w:t>
            </w:r>
            <w:r w:rsidR="009701DA">
              <w:rPr>
                <w:rStyle w:val="EndnoteReference"/>
              </w:rPr>
              <w:t>14</w:t>
            </w:r>
          </w:p>
          <w:p w:rsidR="004369BE" w:rsidRPr="00C41473"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vertAlign w:val="superscript"/>
              </w:rPr>
            </w:pPr>
            <w:r w:rsidRPr="00C41473">
              <w:rPr>
                <w:rFonts w:eastAsia="Calibri" w:cs="Times New Roman"/>
                <w:sz w:val="24"/>
                <w:szCs w:val="24"/>
              </w:rPr>
              <w:t>10.8%</w:t>
            </w:r>
            <w:r>
              <w:rPr>
                <w:rStyle w:val="EndnoteReference"/>
              </w:rPr>
              <w:t xml:space="preserve"> </w:t>
            </w:r>
            <w:r w:rsidR="009701DA">
              <w:rPr>
                <w:rStyle w:val="EndnoteReference"/>
              </w:rPr>
              <w:t>14</w:t>
            </w:r>
          </w:p>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22.4</w:t>
            </w:r>
            <w:r w:rsidRPr="008E603B">
              <w:rPr>
                <w:rFonts w:eastAsia="Calibri" w:cs="Times New Roman"/>
                <w:sz w:val="24"/>
                <w:szCs w:val="24"/>
              </w:rPr>
              <w:t>%</w:t>
            </w:r>
            <w:r>
              <w:rPr>
                <w:rStyle w:val="EndnoteReference"/>
              </w:rPr>
              <w:t xml:space="preserve"> </w:t>
            </w:r>
            <w:r w:rsidR="009701DA">
              <w:rPr>
                <w:rStyle w:val="EndnoteReference"/>
              </w:rPr>
              <w:t>14</w:t>
            </w:r>
          </w:p>
          <w:p w:rsidR="004369BE" w:rsidRPr="008E603B" w:rsidRDefault="004369BE" w:rsidP="00732F0A">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Pr>
                <w:rFonts w:eastAsia="Calibri" w:cs="Times New Roman"/>
                <w:sz w:val="24"/>
                <w:szCs w:val="24"/>
              </w:rPr>
              <w:t>28.5</w:t>
            </w:r>
            <w:r w:rsidRPr="008E603B">
              <w:rPr>
                <w:rFonts w:eastAsia="Calibri" w:cs="Times New Roman"/>
                <w:sz w:val="24"/>
                <w:szCs w:val="24"/>
              </w:rPr>
              <w:t>%</w:t>
            </w:r>
            <w:r>
              <w:rPr>
                <w:rStyle w:val="EndnoteReference"/>
              </w:rPr>
              <w:t xml:space="preserve"> </w:t>
            </w:r>
            <w:r w:rsidR="009701DA">
              <w:rPr>
                <w:rStyle w:val="EndnoteReference"/>
              </w:rPr>
              <w:t>14</w:t>
            </w:r>
          </w:p>
        </w:tc>
      </w:tr>
      <w:tr w:rsidR="004369BE" w:rsidRPr="008E603B" w:rsidTr="004369BE">
        <w:trPr>
          <w:trHeight w:val="1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softHyphen/>
            </w:r>
            <w:r w:rsidRPr="008E603B">
              <w:rPr>
                <w:rFonts w:eastAsia="Calibri" w:cs="Times New Roman"/>
                <w:bCs w:val="0"/>
                <w:sz w:val="24"/>
                <w:szCs w:val="24"/>
              </w:rPr>
              <w:softHyphen/>
              <w:t>Receiving Social Assistance</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1344" w:type="dxa"/>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b/>
                <w:sz w:val="24"/>
                <w:szCs w:val="24"/>
              </w:rPr>
            </w:pPr>
            <w:r w:rsidRPr="008E603B">
              <w:rPr>
                <w:rFonts w:eastAsia="Calibri" w:cs="Times New Roman"/>
                <w:sz w:val="24"/>
                <w:szCs w:val="24"/>
              </w:rPr>
              <w:t xml:space="preserve"> </w:t>
            </w:r>
            <w:r w:rsidRPr="008E603B">
              <w:rPr>
                <w:rFonts w:eastAsia="Calibri" w:cs="Times New Roman"/>
                <w:b/>
                <w:sz w:val="24"/>
                <w:szCs w:val="24"/>
              </w:rPr>
              <w:t>Ontario</w:t>
            </w:r>
            <w:r w:rsidR="00882F6B">
              <w:rPr>
                <w:rFonts w:eastAsia="Calibri" w:cs="Times New Roman"/>
                <w:b/>
                <w:sz w:val="24"/>
                <w:szCs w:val="24"/>
                <w:vertAlign w:val="superscript"/>
              </w:rPr>
              <w:t>d</w:t>
            </w:r>
          </w:p>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3.6%</w:t>
            </w:r>
            <w:r w:rsidR="00732F0A">
              <w:rPr>
                <w:rStyle w:val="EndnoteReference"/>
              </w:rPr>
              <w:t>1</w:t>
            </w:r>
            <w:r w:rsidR="00732F0A" w:rsidRPr="00732F0A">
              <w:rPr>
                <w:vertAlign w:val="superscript"/>
              </w:rPr>
              <w:t>0</w:t>
            </w:r>
          </w:p>
        </w:tc>
        <w:tc>
          <w:tcPr>
            <w:tcW w:w="1344" w:type="dxa"/>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b/>
                <w:sz w:val="24"/>
                <w:szCs w:val="24"/>
                <w:vertAlign w:val="superscript"/>
              </w:rPr>
            </w:pPr>
            <w:r w:rsidRPr="008E603B">
              <w:rPr>
                <w:rFonts w:eastAsia="Calibri" w:cs="Times New Roman"/>
                <w:b/>
                <w:sz w:val="24"/>
                <w:szCs w:val="24"/>
              </w:rPr>
              <w:t>BC</w:t>
            </w:r>
            <w:r w:rsidR="00882F6B">
              <w:rPr>
                <w:rFonts w:eastAsia="Calibri" w:cs="Times New Roman"/>
                <w:b/>
                <w:sz w:val="24"/>
                <w:szCs w:val="24"/>
                <w:vertAlign w:val="superscript"/>
              </w:rPr>
              <w:t>e</w:t>
            </w:r>
          </w:p>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1.2%</w:t>
            </w:r>
            <w:r w:rsidR="00732F0A">
              <w:rPr>
                <w:rStyle w:val="EndnoteReference"/>
              </w:rPr>
              <w:t>1</w:t>
            </w:r>
            <w:r w:rsidR="009701DA">
              <w:rPr>
                <w:vertAlign w:val="superscript"/>
              </w:rPr>
              <w:t>5</w:t>
            </w:r>
          </w:p>
        </w:tc>
      </w:tr>
      <w:tr w:rsidR="004369BE" w:rsidRPr="008E603B" w:rsidTr="004369BE">
        <w:trPr>
          <w:trHeight w:val="332"/>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rPr>
            </w:pPr>
            <w:r w:rsidRPr="008E603B">
              <w:rPr>
                <w:rFonts w:eastAsia="Calibri" w:cs="Times New Roman"/>
                <w:bCs w:val="0"/>
                <w:sz w:val="24"/>
                <w:szCs w:val="24"/>
              </w:rPr>
              <w:t>Receiving Disability Assistance</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1344" w:type="dxa"/>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b/>
                <w:sz w:val="24"/>
                <w:szCs w:val="24"/>
              </w:rPr>
            </w:pPr>
            <w:r w:rsidRPr="008E603B">
              <w:rPr>
                <w:rFonts w:eastAsia="Calibri" w:cs="Times New Roman"/>
                <w:b/>
                <w:sz w:val="24"/>
                <w:szCs w:val="24"/>
              </w:rPr>
              <w:t>Ontario</w:t>
            </w:r>
          </w:p>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2.2%</w:t>
            </w:r>
            <w:r w:rsidR="00732F0A">
              <w:rPr>
                <w:rStyle w:val="EndnoteReference"/>
              </w:rPr>
              <w:t>1</w:t>
            </w:r>
            <w:r w:rsidR="009701DA">
              <w:rPr>
                <w:vertAlign w:val="superscript"/>
              </w:rPr>
              <w:t>5</w:t>
            </w:r>
          </w:p>
        </w:tc>
        <w:tc>
          <w:tcPr>
            <w:tcW w:w="1344" w:type="dxa"/>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b/>
                <w:sz w:val="24"/>
                <w:szCs w:val="24"/>
              </w:rPr>
            </w:pPr>
            <w:r w:rsidRPr="008E603B">
              <w:rPr>
                <w:rFonts w:eastAsia="Calibri" w:cs="Times New Roman"/>
                <w:b/>
                <w:sz w:val="24"/>
                <w:szCs w:val="24"/>
              </w:rPr>
              <w:t>BC</w:t>
            </w:r>
          </w:p>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2.0%</w:t>
            </w:r>
            <w:r w:rsidR="00732F0A">
              <w:rPr>
                <w:rStyle w:val="EndnoteReference"/>
              </w:rPr>
              <w:t>1</w:t>
            </w:r>
            <w:r w:rsidR="009701DA">
              <w:rPr>
                <w:vertAlign w:val="superscript"/>
              </w:rPr>
              <w:t>5</w:t>
            </w:r>
          </w:p>
        </w:tc>
      </w:tr>
      <w:tr w:rsidR="004369BE" w:rsidRPr="008E603B" w:rsidTr="004369BE">
        <w:trPr>
          <w:trHeight w:val="9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4369BE">
            <w:pPr>
              <w:spacing w:before="60" w:afterLines="60" w:after="144"/>
              <w:contextualSpacing/>
              <w:rPr>
                <w:rFonts w:eastAsia="Calibri" w:cs="Times New Roman"/>
                <w:b w:val="0"/>
                <w:bCs w:val="0"/>
                <w:sz w:val="24"/>
                <w:szCs w:val="24"/>
              </w:rPr>
            </w:pPr>
            <w:r>
              <w:rPr>
                <w:rFonts w:eastAsia="Calibri" w:cs="Times New Roman"/>
                <w:bCs w:val="0"/>
                <w:sz w:val="24"/>
                <w:szCs w:val="24"/>
              </w:rPr>
              <w:t>Low Income</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Prevalence of low-income in adults 18-64: 14.4%</w:t>
            </w:r>
          </w:p>
        </w:tc>
      </w:tr>
      <w:tr w:rsidR="004369BE" w:rsidRPr="008E603B" w:rsidTr="004369BE">
        <w:trPr>
          <w:trHeight w:val="144"/>
        </w:trPr>
        <w:tc>
          <w:tcPr>
            <w:cnfStyle w:val="001000000000" w:firstRow="0" w:lastRow="0" w:firstColumn="1" w:lastColumn="0" w:oddVBand="0" w:evenVBand="0" w:oddHBand="0" w:evenHBand="0" w:firstRowFirstColumn="0" w:firstRowLastColumn="0" w:lastRowFirstColumn="0" w:lastRowLastColumn="0"/>
            <w:tcW w:w="4679" w:type="dxa"/>
            <w:shd w:val="clear" w:color="auto" w:fill="DEEAF6" w:themeFill="accent1" w:themeFillTint="33"/>
          </w:tcPr>
          <w:p w:rsidR="004369BE" w:rsidRPr="008E603B" w:rsidRDefault="004369BE" w:rsidP="00CB77A2">
            <w:pPr>
              <w:spacing w:before="60" w:afterLines="60" w:after="144"/>
              <w:contextualSpacing/>
              <w:rPr>
                <w:rFonts w:eastAsia="Calibri" w:cs="Times New Roman"/>
                <w:bCs w:val="0"/>
                <w:sz w:val="24"/>
                <w:szCs w:val="24"/>
                <w:vertAlign w:val="superscript"/>
              </w:rPr>
            </w:pPr>
            <w:r w:rsidRPr="008E603B">
              <w:rPr>
                <w:rFonts w:eastAsia="Calibri" w:cs="Times New Roman"/>
                <w:bCs w:val="0"/>
                <w:sz w:val="24"/>
                <w:szCs w:val="24"/>
              </w:rPr>
              <w:t>Shelter Use (past 12 months)</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 xml:space="preserve">Yes </w:t>
            </w:r>
          </w:p>
          <w:p w:rsidR="004369BE" w:rsidRPr="008E603B" w:rsidRDefault="004369BE" w:rsidP="00CB77A2">
            <w:pPr>
              <w:spacing w:before="60" w:afterLines="60" w:after="144"/>
              <w:ind w:left="367"/>
              <w:contextualSpacing/>
              <w:rPr>
                <w:rFonts w:eastAsia="Calibri" w:cs="Times New Roman"/>
                <w:b w:val="0"/>
                <w:bCs w:val="0"/>
                <w:sz w:val="24"/>
                <w:szCs w:val="24"/>
              </w:rPr>
            </w:pPr>
            <w:r w:rsidRPr="008E603B">
              <w:rPr>
                <w:rFonts w:eastAsia="Calibri" w:cs="Times New Roman"/>
                <w:b w:val="0"/>
                <w:bCs w:val="0"/>
                <w:sz w:val="24"/>
                <w:szCs w:val="24"/>
              </w:rPr>
              <w:t>No</w:t>
            </w:r>
          </w:p>
        </w:tc>
        <w:tc>
          <w:tcPr>
            <w:tcW w:w="2126" w:type="dxa"/>
            <w:shd w:val="clear" w:color="auto" w:fill="FFFFFF" w:themeFill="background1"/>
          </w:tcPr>
          <w:p w:rsidR="004369BE" w:rsidRPr="008E603B" w:rsidRDefault="004369BE" w:rsidP="00CB77A2">
            <w:pPr>
              <w:spacing w:before="60"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tc>
        <w:tc>
          <w:tcPr>
            <w:tcW w:w="2688" w:type="dxa"/>
            <w:gridSpan w:val="2"/>
          </w:tcPr>
          <w:p w:rsidR="004369BE" w:rsidRPr="008E603B" w:rsidRDefault="004369BE" w:rsidP="00CB77A2">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p>
          <w:p w:rsidR="004369BE" w:rsidRPr="008E603B" w:rsidRDefault="004369BE" w:rsidP="00732F0A">
            <w:pPr>
              <w:spacing w:before="60" w:afterLines="60" w:after="144"/>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rPr>
            </w:pPr>
            <w:r w:rsidRPr="008E603B">
              <w:rPr>
                <w:rFonts w:eastAsia="Calibri" w:cs="Times New Roman"/>
                <w:sz w:val="24"/>
                <w:szCs w:val="24"/>
              </w:rPr>
              <w:t>0.08%</w:t>
            </w:r>
            <w:r w:rsidR="00182555">
              <w:rPr>
                <w:rFonts w:eastAsia="Calibri" w:cs="Times New Roman"/>
                <w:sz w:val="24"/>
                <w:szCs w:val="24"/>
                <w:vertAlign w:val="superscript"/>
              </w:rPr>
              <w:t>e</w:t>
            </w:r>
            <w:r w:rsidRPr="008E603B">
              <w:rPr>
                <w:rFonts w:eastAsia="Calibri" w:cs="Times New Roman"/>
                <w:sz w:val="24"/>
                <w:szCs w:val="24"/>
                <w:vertAlign w:val="superscript"/>
              </w:rPr>
              <w:t>,</w:t>
            </w:r>
            <w:r w:rsidRPr="00732F0A">
              <w:rPr>
                <w:rFonts w:eastAsia="Calibri" w:cs="Times New Roman"/>
                <w:sz w:val="24"/>
                <w:szCs w:val="24"/>
                <w:vertAlign w:val="superscript"/>
              </w:rPr>
              <w:t xml:space="preserve"> </w:t>
            </w:r>
            <w:r w:rsidR="009701DA">
              <w:rPr>
                <w:vertAlign w:val="superscript"/>
              </w:rPr>
              <w:t>12</w:t>
            </w:r>
          </w:p>
        </w:tc>
      </w:tr>
    </w:tbl>
    <w:p w:rsidR="008E603B" w:rsidRDefault="008E603B" w:rsidP="008E603B">
      <w:pPr>
        <w:spacing w:before="40" w:after="40" w:line="240" w:lineRule="auto"/>
        <w:ind w:left="57" w:hanging="86"/>
        <w:rPr>
          <w:rFonts w:eastAsia="Calibri" w:cs="Times New Roman"/>
          <w:bCs/>
          <w:sz w:val="24"/>
          <w:szCs w:val="24"/>
          <w:vertAlign w:val="superscript"/>
        </w:rPr>
      </w:pPr>
    </w:p>
    <w:p w:rsidR="00882F6B" w:rsidRPr="00AA3435" w:rsidRDefault="00882F6B" w:rsidP="008E603B">
      <w:pPr>
        <w:spacing w:before="40" w:after="40" w:line="240" w:lineRule="auto"/>
        <w:ind w:left="57" w:hanging="86"/>
        <w:rPr>
          <w:rFonts w:eastAsia="Calibri" w:cs="Times New Roman"/>
          <w:bCs/>
          <w:szCs w:val="24"/>
        </w:rPr>
      </w:pPr>
      <w:r w:rsidRPr="00AA3435">
        <w:rPr>
          <w:rFonts w:eastAsia="Calibri" w:cs="Times New Roman"/>
          <w:bCs/>
          <w:szCs w:val="24"/>
          <w:vertAlign w:val="superscript"/>
        </w:rPr>
        <w:t xml:space="preserve">a </w:t>
      </w:r>
      <w:r w:rsidR="000B07FF" w:rsidRPr="00AA3435">
        <w:rPr>
          <w:rFonts w:eastAsia="Calibri" w:cs="Times New Roman"/>
          <w:bCs/>
          <w:szCs w:val="24"/>
        </w:rPr>
        <w:t>Difficulties arriving at an estimate for</w:t>
      </w:r>
      <w:r w:rsidR="000F62A3" w:rsidRPr="00AA3435">
        <w:rPr>
          <w:rFonts w:eastAsia="Calibri" w:cs="Times New Roman"/>
          <w:bCs/>
          <w:szCs w:val="24"/>
        </w:rPr>
        <w:t xml:space="preserve"> the t</w:t>
      </w:r>
      <w:r w:rsidR="000B07FF" w:rsidRPr="00AA3435">
        <w:rPr>
          <w:rFonts w:eastAsia="Calibri" w:cs="Times New Roman"/>
          <w:bCs/>
          <w:szCs w:val="24"/>
        </w:rPr>
        <w:t>rans</w:t>
      </w:r>
      <w:r w:rsidR="000F62A3" w:rsidRPr="00AA3435">
        <w:rPr>
          <w:rFonts w:eastAsia="Calibri" w:cs="Times New Roman"/>
          <w:bCs/>
          <w:szCs w:val="24"/>
        </w:rPr>
        <w:t>gender</w:t>
      </w:r>
      <w:r w:rsidR="000B07FF" w:rsidRPr="00AA3435">
        <w:rPr>
          <w:rFonts w:eastAsia="Calibri" w:cs="Times New Roman"/>
          <w:bCs/>
          <w:szCs w:val="24"/>
        </w:rPr>
        <w:t xml:space="preserve"> population</w:t>
      </w:r>
      <w:r w:rsidR="000F62A3" w:rsidRPr="00AA3435">
        <w:rPr>
          <w:rFonts w:eastAsia="Calibri" w:cs="Times New Roman"/>
          <w:bCs/>
          <w:szCs w:val="24"/>
        </w:rPr>
        <w:t xml:space="preserve"> are related to the overall lack of inclusion </w:t>
      </w:r>
      <w:r w:rsidR="005A7B0D" w:rsidRPr="00AA3435">
        <w:rPr>
          <w:rFonts w:eastAsia="Calibri" w:cs="Times New Roman"/>
          <w:bCs/>
          <w:szCs w:val="24"/>
        </w:rPr>
        <w:t>and acknowledgment of transgender identities in population surveys</w:t>
      </w:r>
      <w:r w:rsidR="000F62A3" w:rsidRPr="00AA3435">
        <w:rPr>
          <w:rFonts w:eastAsia="Calibri" w:cs="Times New Roman"/>
          <w:bCs/>
          <w:szCs w:val="24"/>
        </w:rPr>
        <w:t xml:space="preserve">, </w:t>
      </w:r>
      <w:r w:rsidR="005A7B0D" w:rsidRPr="00AA3435">
        <w:rPr>
          <w:rFonts w:eastAsia="Calibri" w:cs="Times New Roman"/>
          <w:bCs/>
          <w:szCs w:val="24"/>
        </w:rPr>
        <w:t xml:space="preserve">as well as </w:t>
      </w:r>
      <w:r w:rsidR="000F62A3" w:rsidRPr="00AA3435">
        <w:rPr>
          <w:rFonts w:eastAsia="Calibri" w:cs="Times New Roman"/>
          <w:bCs/>
          <w:szCs w:val="24"/>
        </w:rPr>
        <w:t xml:space="preserve">complexities in definition, </w:t>
      </w:r>
      <w:r w:rsidR="005A7B0D" w:rsidRPr="00AA3435">
        <w:rPr>
          <w:rFonts w:eastAsia="Calibri" w:cs="Times New Roman"/>
          <w:bCs/>
          <w:szCs w:val="24"/>
        </w:rPr>
        <w:t xml:space="preserve">including </w:t>
      </w:r>
      <w:r w:rsidR="00687DE1" w:rsidRPr="00AA3435">
        <w:rPr>
          <w:rFonts w:eastAsia="Calibri" w:cs="Times New Roman"/>
          <w:bCs/>
          <w:szCs w:val="24"/>
        </w:rPr>
        <w:t xml:space="preserve">the </w:t>
      </w:r>
      <w:r w:rsidR="000F62A3" w:rsidRPr="00AA3435">
        <w:rPr>
          <w:rFonts w:eastAsia="Calibri" w:cs="Times New Roman"/>
          <w:bCs/>
          <w:szCs w:val="24"/>
        </w:rPr>
        <w:t>criteria used to include and/or exclude transgender people. Visit</w:t>
      </w:r>
      <w:r w:rsidR="009B089C" w:rsidRPr="00AA3435">
        <w:rPr>
          <w:rFonts w:eastAsia="Calibri" w:cs="Times New Roman"/>
          <w:bCs/>
          <w:szCs w:val="24"/>
        </w:rPr>
        <w:t xml:space="preserve"> </w:t>
      </w:r>
      <w:hyperlink r:id="rId8" w:history="1">
        <w:r w:rsidR="000F62A3" w:rsidRPr="00AA3435">
          <w:rPr>
            <w:rStyle w:val="Hyperlink"/>
            <w:rFonts w:eastAsia="Calibri" w:cs="Times New Roman"/>
            <w:bCs/>
            <w:szCs w:val="24"/>
          </w:rPr>
          <w:t>http://womanmeanssomething.com/size-of-the-transgender-population-and-why-it-matters/</w:t>
        </w:r>
      </w:hyperlink>
      <w:r w:rsidR="000F62A3" w:rsidRPr="00AA3435">
        <w:rPr>
          <w:rFonts w:eastAsia="Calibri" w:cs="Times New Roman"/>
          <w:bCs/>
          <w:szCs w:val="24"/>
        </w:rPr>
        <w:t xml:space="preserve"> for more information.</w:t>
      </w:r>
    </w:p>
    <w:p w:rsidR="008E603B" w:rsidRPr="00AA3435" w:rsidRDefault="00882F6B" w:rsidP="008E603B">
      <w:pPr>
        <w:spacing w:before="40" w:after="40" w:line="240" w:lineRule="auto"/>
        <w:ind w:left="57" w:hanging="86"/>
        <w:rPr>
          <w:rFonts w:eastAsia="Calibri" w:cs="Times New Roman"/>
          <w:bCs/>
          <w:szCs w:val="24"/>
        </w:rPr>
      </w:pPr>
      <w:r w:rsidRPr="00AA3435">
        <w:rPr>
          <w:rFonts w:eastAsia="Calibri" w:cs="Times New Roman"/>
          <w:bCs/>
          <w:szCs w:val="24"/>
          <w:vertAlign w:val="superscript"/>
        </w:rPr>
        <w:t>b</w:t>
      </w:r>
      <w:r w:rsidR="008E603B" w:rsidRPr="00AA3435">
        <w:rPr>
          <w:rFonts w:eastAsia="Calibri" w:cs="Times New Roman"/>
          <w:bCs/>
          <w:szCs w:val="24"/>
        </w:rPr>
        <w:t xml:space="preserve"> ‘Employed’ status includes individuals working full- or part-time, as well as those taking part in seasonal work.</w:t>
      </w:r>
    </w:p>
    <w:p w:rsidR="008E603B" w:rsidRPr="00AA3435" w:rsidRDefault="00882F6B" w:rsidP="008E603B">
      <w:pPr>
        <w:spacing w:before="40" w:after="40" w:line="240" w:lineRule="auto"/>
        <w:ind w:left="57" w:hanging="86"/>
        <w:rPr>
          <w:rFonts w:eastAsia="Calibri" w:cs="Times New Roman"/>
          <w:bCs/>
          <w:szCs w:val="24"/>
        </w:rPr>
      </w:pPr>
      <w:r w:rsidRPr="00AA3435">
        <w:rPr>
          <w:rFonts w:eastAsia="Calibri" w:cs="Times New Roman"/>
          <w:bCs/>
          <w:szCs w:val="24"/>
          <w:vertAlign w:val="superscript"/>
        </w:rPr>
        <w:t>c</w:t>
      </w:r>
      <w:r w:rsidR="008E603B" w:rsidRPr="00AA3435">
        <w:rPr>
          <w:rFonts w:eastAsia="Calibri" w:cs="Times New Roman"/>
          <w:bCs/>
          <w:szCs w:val="24"/>
          <w:vertAlign w:val="superscript"/>
        </w:rPr>
        <w:t xml:space="preserve"> </w:t>
      </w:r>
      <w:r w:rsidR="008E603B" w:rsidRPr="00AA3435">
        <w:rPr>
          <w:rFonts w:eastAsia="Calibri" w:cs="Times New Roman"/>
          <w:bCs/>
          <w:szCs w:val="24"/>
        </w:rPr>
        <w:t>The majority of responses in this category are: retired, receiving assistance, stay-at-home mom, student, and occasional cash work.</w:t>
      </w:r>
    </w:p>
    <w:p w:rsidR="008E603B" w:rsidRPr="00AA3435" w:rsidRDefault="00882F6B" w:rsidP="008E603B">
      <w:pPr>
        <w:pStyle w:val="NoSpacing"/>
        <w:ind w:left="57" w:hanging="85"/>
        <w:rPr>
          <w:rFonts w:asciiTheme="minorHAnsi" w:hAnsiTheme="minorHAnsi"/>
          <w:sz w:val="22"/>
          <w:szCs w:val="24"/>
        </w:rPr>
      </w:pPr>
      <w:r w:rsidRPr="00AA3435">
        <w:rPr>
          <w:rFonts w:asciiTheme="minorHAnsi" w:eastAsia="Calibri" w:hAnsiTheme="minorHAnsi" w:cs="Times New Roman"/>
          <w:bCs/>
          <w:sz w:val="22"/>
          <w:szCs w:val="24"/>
          <w:vertAlign w:val="superscript"/>
          <w:lang w:val="en-CA"/>
        </w:rPr>
        <w:t>d</w:t>
      </w:r>
      <w:r w:rsidR="008E603B" w:rsidRPr="00AA3435">
        <w:rPr>
          <w:rFonts w:asciiTheme="minorHAnsi" w:eastAsia="Calibri" w:hAnsiTheme="minorHAnsi" w:cs="Times New Roman"/>
          <w:bCs/>
          <w:sz w:val="22"/>
          <w:szCs w:val="24"/>
          <w:lang w:val="en-CA"/>
        </w:rPr>
        <w:t xml:space="preserve"> </w:t>
      </w:r>
      <w:r w:rsidR="008E603B" w:rsidRPr="00AA3435">
        <w:rPr>
          <w:rFonts w:asciiTheme="minorHAnsi" w:hAnsiTheme="minorHAnsi"/>
          <w:sz w:val="22"/>
          <w:szCs w:val="24"/>
        </w:rPr>
        <w:t>Calculation based on Population of Ontario in 2011: 12,851,821</w:t>
      </w:r>
      <w:r w:rsidR="008E603B" w:rsidRPr="00AA3435">
        <w:rPr>
          <w:rFonts w:asciiTheme="minorHAnsi" w:hAnsiTheme="minorHAnsi"/>
          <w:sz w:val="22"/>
          <w:szCs w:val="24"/>
          <w:vertAlign w:val="superscript"/>
        </w:rPr>
        <w:t>v</w:t>
      </w:r>
    </w:p>
    <w:p w:rsidR="008E603B" w:rsidRPr="00AA3435" w:rsidRDefault="00882F6B" w:rsidP="008E603B">
      <w:pPr>
        <w:pStyle w:val="NoSpacing"/>
        <w:ind w:left="57" w:hanging="85"/>
        <w:rPr>
          <w:rFonts w:asciiTheme="minorHAnsi" w:hAnsiTheme="minorHAnsi"/>
          <w:sz w:val="22"/>
          <w:szCs w:val="24"/>
        </w:rPr>
      </w:pPr>
      <w:r w:rsidRPr="00AA3435">
        <w:rPr>
          <w:rFonts w:asciiTheme="minorHAnsi" w:hAnsiTheme="minorHAnsi"/>
          <w:sz w:val="22"/>
          <w:szCs w:val="24"/>
          <w:vertAlign w:val="superscript"/>
        </w:rPr>
        <w:t>e</w:t>
      </w:r>
      <w:r w:rsidR="008E603B" w:rsidRPr="00AA3435">
        <w:rPr>
          <w:rFonts w:asciiTheme="minorHAnsi" w:hAnsiTheme="minorHAnsi"/>
          <w:sz w:val="22"/>
          <w:szCs w:val="24"/>
          <w:vertAlign w:val="superscript"/>
        </w:rPr>
        <w:t xml:space="preserve"> </w:t>
      </w:r>
      <w:r w:rsidR="008E603B" w:rsidRPr="00AA3435">
        <w:rPr>
          <w:rFonts w:asciiTheme="minorHAnsi" w:hAnsiTheme="minorHAnsi"/>
          <w:sz w:val="22"/>
          <w:szCs w:val="24"/>
        </w:rPr>
        <w:t xml:space="preserve">Population of BC in 2011 - 4,400,057 according to </w:t>
      </w:r>
      <w:hyperlink r:id="rId9" w:history="1">
        <w:r w:rsidR="008E603B" w:rsidRPr="00AA3435">
          <w:rPr>
            <w:rStyle w:val="Hyperlink"/>
            <w:rFonts w:asciiTheme="minorHAnsi" w:hAnsiTheme="minorHAnsi"/>
            <w:sz w:val="22"/>
            <w:szCs w:val="24"/>
          </w:rPr>
          <w:t>http://www12.statcan.gc.ca/census-recensement/2011/as-sa/fogs-spg/Facts-pr-eng.cfm?Lang=Eng&amp;GK=PR&amp;GC=35</w:t>
        </w:r>
      </w:hyperlink>
    </w:p>
    <w:p w:rsidR="008E603B" w:rsidRPr="00AA3435" w:rsidRDefault="00182555" w:rsidP="00182555">
      <w:pPr>
        <w:spacing w:line="240" w:lineRule="auto"/>
        <w:ind w:left="57" w:hanging="85"/>
        <w:rPr>
          <w:rFonts w:eastAsia="Calibri" w:cs="Times New Roman"/>
          <w:bCs/>
          <w:szCs w:val="24"/>
        </w:rPr>
      </w:pPr>
      <w:r w:rsidRPr="00AA3435">
        <w:rPr>
          <w:rFonts w:eastAsia="Calibri" w:cs="Times New Roman"/>
          <w:bCs/>
          <w:szCs w:val="24"/>
          <w:vertAlign w:val="superscript"/>
        </w:rPr>
        <w:softHyphen/>
      </w:r>
      <w:r w:rsidRPr="00AA3435">
        <w:rPr>
          <w:rFonts w:eastAsia="Calibri" w:cs="Times New Roman"/>
          <w:bCs/>
          <w:szCs w:val="24"/>
          <w:vertAlign w:val="superscript"/>
        </w:rPr>
        <w:softHyphen/>
      </w:r>
      <w:r w:rsidRPr="00AA3435">
        <w:rPr>
          <w:rFonts w:eastAsia="Calibri" w:cs="Times New Roman"/>
          <w:bCs/>
          <w:szCs w:val="24"/>
          <w:vertAlign w:val="superscript"/>
        </w:rPr>
        <w:softHyphen/>
        <w:t>e</w:t>
      </w:r>
      <w:r w:rsidR="008E603B" w:rsidRPr="00AA3435">
        <w:rPr>
          <w:rFonts w:eastAsia="Calibri" w:cs="Times New Roman"/>
          <w:bCs/>
          <w:szCs w:val="24"/>
          <w:vertAlign w:val="superscript"/>
        </w:rPr>
        <w:t xml:space="preserve"> </w:t>
      </w:r>
      <w:r w:rsidR="008E603B" w:rsidRPr="00AA3435">
        <w:rPr>
          <w:szCs w:val="24"/>
        </w:rPr>
        <w:t>Calculation of number of persons age 15+ living in shelter in 2011 using: Statistics Canada, 2011 Census of Population, Statistics Canada Catalogue no. 98-313-XCB2011024, Table Selected Collective Dwelling and Population Characteristics (52) and Type of Collective Dwelling (17) for the Population in Collective Dwellings of Canada, Provinces and Territories, 2011 Census</w:t>
      </w:r>
      <w:r w:rsidR="008E603B" w:rsidRPr="00AA3435">
        <w:rPr>
          <w:szCs w:val="24"/>
          <w:vertAlign w:val="superscript"/>
        </w:rPr>
        <w:t>vi</w:t>
      </w:r>
      <w:r w:rsidR="008E603B" w:rsidRPr="00AA3435">
        <w:rPr>
          <w:szCs w:val="24"/>
        </w:rPr>
        <w:t>. Where: 20,170 people in shelters – 2145 children under 15 = 18,025 adult 15 year+ / population 15+ (22,924,285) &amp; source for population 15+ in 2011: 22,924,285.</w:t>
      </w:r>
    </w:p>
    <w:p w:rsidR="008E603B" w:rsidRPr="00AA3435" w:rsidRDefault="008E603B" w:rsidP="00AA5F78">
      <w:pPr>
        <w:spacing w:line="240" w:lineRule="auto"/>
        <w:ind w:left="57" w:hanging="85"/>
        <w:rPr>
          <w:rFonts w:eastAsia="Calibri" w:cs="Times New Roman"/>
          <w:bCs/>
          <w:szCs w:val="24"/>
        </w:rPr>
      </w:pPr>
      <w:r w:rsidRPr="00AA3435">
        <w:rPr>
          <w:rFonts w:eastAsia="Calibri" w:cs="Times New Roman"/>
          <w:bCs/>
          <w:szCs w:val="24"/>
        </w:rPr>
        <w:t xml:space="preserve">--------------------------------------- </w:t>
      </w:r>
    </w:p>
    <w:p w:rsidR="00CD389E" w:rsidRPr="008E603B" w:rsidRDefault="00CD389E" w:rsidP="008D1A51">
      <w:pPr>
        <w:tabs>
          <w:tab w:val="left" w:pos="7730"/>
        </w:tabs>
        <w:rPr>
          <w:sz w:val="24"/>
          <w:szCs w:val="24"/>
        </w:rPr>
      </w:pPr>
    </w:p>
    <w:p w:rsidR="00CD389E" w:rsidRDefault="00CD389E" w:rsidP="008D1A51">
      <w:pPr>
        <w:tabs>
          <w:tab w:val="left" w:pos="7730"/>
        </w:tabs>
        <w:rPr>
          <w:sz w:val="24"/>
          <w:szCs w:val="24"/>
        </w:rPr>
      </w:pPr>
    </w:p>
    <w:p w:rsidR="00E50A00" w:rsidRPr="008E603B" w:rsidRDefault="00E50A00" w:rsidP="008D1A51">
      <w:pPr>
        <w:tabs>
          <w:tab w:val="left" w:pos="7730"/>
        </w:tabs>
        <w:rPr>
          <w:sz w:val="24"/>
          <w:szCs w:val="24"/>
        </w:rPr>
      </w:pPr>
    </w:p>
    <w:p w:rsidR="007D792C" w:rsidRDefault="007D792C" w:rsidP="008D1A51">
      <w:pPr>
        <w:tabs>
          <w:tab w:val="left" w:pos="7730"/>
        </w:tabs>
        <w:rPr>
          <w:sz w:val="24"/>
          <w:szCs w:val="24"/>
        </w:rPr>
      </w:pPr>
    </w:p>
    <w:p w:rsidR="00732F0A" w:rsidRDefault="00732F0A" w:rsidP="008D1A51">
      <w:pPr>
        <w:tabs>
          <w:tab w:val="left" w:pos="7730"/>
        </w:tabs>
        <w:rPr>
          <w:sz w:val="24"/>
          <w:szCs w:val="24"/>
        </w:rPr>
      </w:pPr>
    </w:p>
    <w:p w:rsidR="00732F0A" w:rsidRDefault="00732F0A" w:rsidP="008D1A51">
      <w:pPr>
        <w:tabs>
          <w:tab w:val="left" w:pos="7730"/>
        </w:tabs>
        <w:rPr>
          <w:sz w:val="24"/>
          <w:szCs w:val="24"/>
        </w:rPr>
      </w:pPr>
    </w:p>
    <w:p w:rsidR="00472B1C" w:rsidRDefault="00472B1C" w:rsidP="008D1A51">
      <w:pPr>
        <w:tabs>
          <w:tab w:val="left" w:pos="7730"/>
        </w:tabs>
        <w:rPr>
          <w:b/>
          <w:sz w:val="24"/>
          <w:szCs w:val="24"/>
        </w:rPr>
      </w:pPr>
    </w:p>
    <w:p w:rsidR="000B07FF" w:rsidRDefault="000B07FF" w:rsidP="008D1A51">
      <w:pPr>
        <w:tabs>
          <w:tab w:val="left" w:pos="7730"/>
        </w:tabs>
        <w:rPr>
          <w:b/>
          <w:sz w:val="24"/>
          <w:szCs w:val="24"/>
        </w:rPr>
      </w:pPr>
    </w:p>
    <w:p w:rsidR="000B07FF" w:rsidRDefault="000B07FF" w:rsidP="008D1A51">
      <w:pPr>
        <w:tabs>
          <w:tab w:val="left" w:pos="7730"/>
        </w:tabs>
        <w:rPr>
          <w:b/>
          <w:sz w:val="24"/>
          <w:szCs w:val="24"/>
        </w:rPr>
      </w:pPr>
    </w:p>
    <w:p w:rsidR="000B07FF" w:rsidRDefault="000B07FF" w:rsidP="008D1A51">
      <w:pPr>
        <w:tabs>
          <w:tab w:val="left" w:pos="7730"/>
        </w:tabs>
        <w:rPr>
          <w:sz w:val="24"/>
          <w:szCs w:val="24"/>
        </w:rPr>
      </w:pPr>
    </w:p>
    <w:p w:rsidR="00732F0A" w:rsidRDefault="00472B1C" w:rsidP="008D1A51">
      <w:pPr>
        <w:tabs>
          <w:tab w:val="left" w:pos="7730"/>
        </w:tabs>
        <w:rPr>
          <w:sz w:val="24"/>
          <w:szCs w:val="24"/>
        </w:rPr>
      </w:pPr>
      <w:r>
        <w:rPr>
          <w:sz w:val="24"/>
          <w:szCs w:val="24"/>
        </w:rPr>
        <w:t xml:space="preserve"> </w:t>
      </w:r>
      <w:r w:rsidRPr="00472B1C">
        <w:rPr>
          <w:sz w:val="24"/>
          <w:szCs w:val="24"/>
        </w:rPr>
        <w:t xml:space="preserve">  </w:t>
      </w:r>
      <w:r>
        <w:rPr>
          <w:sz w:val="24"/>
          <w:szCs w:val="24"/>
        </w:rPr>
        <w:t xml:space="preserve"> </w:t>
      </w:r>
    </w:p>
    <w:p w:rsidR="00732F0A" w:rsidRDefault="00732F0A" w:rsidP="008D1A51">
      <w:pPr>
        <w:tabs>
          <w:tab w:val="left" w:pos="7730"/>
        </w:tabs>
        <w:rPr>
          <w:sz w:val="24"/>
          <w:szCs w:val="24"/>
        </w:rPr>
      </w:pPr>
    </w:p>
    <w:p w:rsidR="00732F0A" w:rsidRDefault="00732F0A" w:rsidP="008D1A51">
      <w:pPr>
        <w:tabs>
          <w:tab w:val="left" w:pos="7730"/>
        </w:tabs>
        <w:rPr>
          <w:sz w:val="24"/>
          <w:szCs w:val="24"/>
        </w:rPr>
      </w:pPr>
    </w:p>
    <w:p w:rsidR="00732F0A" w:rsidRDefault="00732F0A" w:rsidP="008D1A51">
      <w:pPr>
        <w:tabs>
          <w:tab w:val="left" w:pos="7730"/>
        </w:tabs>
        <w:rPr>
          <w:sz w:val="24"/>
          <w:szCs w:val="24"/>
        </w:rPr>
      </w:pPr>
    </w:p>
    <w:p w:rsidR="00AA3435" w:rsidRDefault="00AA3435" w:rsidP="008D1A51">
      <w:pPr>
        <w:tabs>
          <w:tab w:val="left" w:pos="7730"/>
        </w:tabs>
        <w:rPr>
          <w:sz w:val="24"/>
          <w:szCs w:val="24"/>
        </w:rPr>
      </w:pPr>
    </w:p>
    <w:p w:rsidR="00AA3435" w:rsidRDefault="00AA3435" w:rsidP="008D1A51">
      <w:pPr>
        <w:tabs>
          <w:tab w:val="left" w:pos="7730"/>
        </w:tabs>
        <w:rPr>
          <w:sz w:val="24"/>
          <w:szCs w:val="24"/>
        </w:rPr>
      </w:pPr>
    </w:p>
    <w:p w:rsidR="00AA3435" w:rsidRDefault="00AA3435" w:rsidP="008D1A51">
      <w:pPr>
        <w:tabs>
          <w:tab w:val="left" w:pos="7730"/>
        </w:tabs>
        <w:rPr>
          <w:sz w:val="24"/>
          <w:szCs w:val="24"/>
        </w:rPr>
      </w:pPr>
    </w:p>
    <w:p w:rsidR="006C7615" w:rsidRPr="008E603B" w:rsidRDefault="006C7615" w:rsidP="006C7615">
      <w:pPr>
        <w:rPr>
          <w:sz w:val="24"/>
          <w:szCs w:val="24"/>
        </w:rPr>
      </w:pPr>
      <w:r w:rsidRPr="008E603B">
        <w:rPr>
          <w:noProof/>
          <w:sz w:val="24"/>
          <w:szCs w:val="24"/>
          <w:lang w:val="en-US"/>
        </w:rPr>
        <w:lastRenderedPageBreak/>
        <mc:AlternateContent>
          <mc:Choice Requires="wps">
            <w:drawing>
              <wp:anchor distT="0" distB="0" distL="114300" distR="114300" simplePos="0" relativeHeight="251669504" behindDoc="0" locked="0" layoutInCell="1" allowOverlap="1" wp14:anchorId="1FC8ACBE" wp14:editId="7097BA8E">
                <wp:simplePos x="0" y="0"/>
                <wp:positionH relativeFrom="margin">
                  <wp:align>right</wp:align>
                </wp:positionH>
                <wp:positionV relativeFrom="paragraph">
                  <wp:posOffset>-473</wp:posOffset>
                </wp:positionV>
                <wp:extent cx="5943600" cy="447675"/>
                <wp:effectExtent l="0" t="0" r="0" b="9525"/>
                <wp:wrapNone/>
                <wp:docPr id="2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3600" cy="447675"/>
                        </a:xfrm>
                        <a:prstGeom prst="rect">
                          <a:avLst/>
                        </a:prstGeom>
                        <a:solidFill>
                          <a:schemeClr val="accent5">
                            <a:lumMod val="60000"/>
                            <a:lumOff val="40000"/>
                          </a:schemeClr>
                        </a:solidFill>
                      </wps:spPr>
                      <wps:txbx>
                        <w:txbxContent>
                          <w:p w:rsidR="006C7615" w:rsidRPr="00AA3435" w:rsidRDefault="00AA3435" w:rsidP="007D792C">
                            <w:pPr>
                              <w:pStyle w:val="NormalWeb"/>
                              <w:shd w:val="clear" w:color="auto" w:fill="FFFFFF" w:themeFill="background1"/>
                              <w:spacing w:before="0" w:beforeAutospacing="0" w:after="0" w:afterAutospacing="0" w:line="216" w:lineRule="auto"/>
                              <w:jc w:val="center"/>
                              <w:rPr>
                                <w:sz w:val="14"/>
                              </w:rPr>
                            </w:pPr>
                            <w:r w:rsidRPr="00AA3435">
                              <w:rPr>
                                <w:rFonts w:asciiTheme="minorHAnsi" w:eastAsiaTheme="majorEastAsia" w:hAnsi="Calibri" w:cstheme="majorBidi"/>
                                <w:b/>
                                <w:bCs/>
                                <w:color w:val="323E4F" w:themeColor="text2" w:themeShade="BF"/>
                                <w:kern w:val="24"/>
                                <w:sz w:val="36"/>
                                <w:szCs w:val="56"/>
                                <w:lang w:val="en-US"/>
                              </w:rPr>
                              <w:t>Health care experiences compared to Canadian population</w:t>
                            </w:r>
                            <w:r w:rsidR="0099534A" w:rsidRPr="00AA3435">
                              <w:rPr>
                                <w:rFonts w:asciiTheme="minorHAnsi" w:eastAsiaTheme="majorEastAsia" w:hAnsi="Calibri" w:cstheme="majorBidi"/>
                                <w:b/>
                                <w:bCs/>
                                <w:color w:val="323E4F" w:themeColor="text2" w:themeShade="BF"/>
                                <w:kern w:val="24"/>
                                <w:sz w:val="36"/>
                                <w:szCs w:val="56"/>
                                <w:lang w:val="en-US"/>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FC8ACBE" id="_x0000_s1029" style="position:absolute;margin-left:416.8pt;margin-top:-.05pt;width:468pt;height:3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" fillcolor="#8eaadb [1944]" stroked="f">
                <v:path arrowok="t"/>
                <o:lock v:ext="edit" grouping="t"/>
                <v:textbox>
                  <w:txbxContent>
                    <w:p w:rsidR="006C7615" w:rsidRPr="00AA3435" w:rsidRDefault="00AA3435" w:rsidP="007D792C">
                      <w:pPr>
                        <w:pStyle w:val="NormalWeb"/>
                        <w:shd w:val="clear" w:color="auto" w:fill="FFFFFF" w:themeFill="background1"/>
                        <w:spacing w:before="0" w:beforeAutospacing="0" w:after="0" w:afterAutospacing="0" w:line="216" w:lineRule="auto"/>
                        <w:jc w:val="center"/>
                        <w:rPr>
                          <w:sz w:val="14"/>
                        </w:rPr>
                      </w:pPr>
                      <w:r w:rsidRPr="00AA3435">
                        <w:rPr>
                          <w:rFonts w:asciiTheme="minorHAnsi" w:eastAsiaTheme="majorEastAsia" w:hAnsi="Calibri" w:cstheme="majorBidi"/>
                          <w:b/>
                          <w:bCs/>
                          <w:color w:val="323E4F" w:themeColor="text2" w:themeShade="BF"/>
                          <w:kern w:val="24"/>
                          <w:sz w:val="36"/>
                          <w:szCs w:val="56"/>
                          <w:lang w:val="en-US"/>
                        </w:rPr>
                        <w:t>Health care experiences compared to Canadian population</w:t>
                      </w:r>
                      <w:r w:rsidR="0099534A" w:rsidRPr="00AA3435">
                        <w:rPr>
                          <w:rFonts w:asciiTheme="minorHAnsi" w:eastAsiaTheme="majorEastAsia" w:hAnsi="Calibri" w:cstheme="majorBidi"/>
                          <w:b/>
                          <w:bCs/>
                          <w:color w:val="323E4F" w:themeColor="text2" w:themeShade="BF"/>
                          <w:kern w:val="24"/>
                          <w:sz w:val="36"/>
                          <w:szCs w:val="56"/>
                          <w:lang w:val="en-US"/>
                        </w:rPr>
                        <w:t xml:space="preserve"> </w:t>
                      </w:r>
                    </w:p>
                  </w:txbxContent>
                </v:textbox>
                <w10:wrap anchorx="margin"/>
              </v:rect>
            </w:pict>
          </mc:Fallback>
        </mc:AlternateContent>
      </w:r>
    </w:p>
    <w:p w:rsidR="006C7615" w:rsidRPr="008E603B" w:rsidRDefault="006C7615" w:rsidP="006C7615">
      <w:pPr>
        <w:rPr>
          <w:sz w:val="24"/>
          <w:szCs w:val="24"/>
        </w:rPr>
      </w:pPr>
    </w:p>
    <w:p w:rsidR="006C7615" w:rsidRPr="008E603B" w:rsidRDefault="006C7615" w:rsidP="008D1A51">
      <w:pPr>
        <w:tabs>
          <w:tab w:val="left" w:pos="7730"/>
        </w:tabs>
        <w:rPr>
          <w:sz w:val="24"/>
          <w:szCs w:val="24"/>
        </w:rPr>
      </w:pPr>
    </w:p>
    <w:tbl>
      <w:tblPr>
        <w:tblStyle w:val="TableGrid"/>
        <w:tblpPr w:leftFromText="180" w:rightFromText="180" w:vertAnchor="text" w:horzAnchor="margin" w:tblpXSpec="center" w:tblpY="-34"/>
        <w:tblW w:w="10733" w:type="dxa"/>
        <w:tblLook w:val="04A0" w:firstRow="1" w:lastRow="0" w:firstColumn="1" w:lastColumn="0" w:noHBand="0" w:noVBand="1"/>
      </w:tblPr>
      <w:tblGrid>
        <w:gridCol w:w="3827"/>
        <w:gridCol w:w="4130"/>
        <w:gridCol w:w="2776"/>
      </w:tblGrid>
      <w:tr w:rsidR="006C7615" w:rsidRPr="008E603B" w:rsidTr="00113860">
        <w:trPr>
          <w:trHeight w:val="350"/>
        </w:trPr>
        <w:tc>
          <w:tcPr>
            <w:tcW w:w="3827" w:type="dxa"/>
            <w:shd w:val="clear" w:color="auto" w:fill="BDD6EE" w:themeFill="accent1" w:themeFillTint="66"/>
            <w:hideMark/>
          </w:tcPr>
          <w:p w:rsidR="006C7615" w:rsidRPr="008E603B" w:rsidRDefault="006C7615" w:rsidP="00A11E84">
            <w:pPr>
              <w:rPr>
                <w:sz w:val="24"/>
                <w:szCs w:val="24"/>
              </w:rPr>
            </w:pPr>
            <w:r w:rsidRPr="008E603B">
              <w:rPr>
                <w:b/>
                <w:bCs/>
                <w:sz w:val="24"/>
                <w:szCs w:val="24"/>
                <w:lang w:val="en-US"/>
              </w:rPr>
              <w:t> </w:t>
            </w:r>
          </w:p>
        </w:tc>
        <w:tc>
          <w:tcPr>
            <w:tcW w:w="4130" w:type="dxa"/>
            <w:shd w:val="clear" w:color="auto" w:fill="BDD6EE" w:themeFill="accent1" w:themeFillTint="66"/>
            <w:hideMark/>
          </w:tcPr>
          <w:p w:rsidR="006C7615" w:rsidRPr="008E603B" w:rsidRDefault="006C7615" w:rsidP="00113860">
            <w:pPr>
              <w:jc w:val="center"/>
              <w:rPr>
                <w:sz w:val="24"/>
                <w:szCs w:val="24"/>
              </w:rPr>
            </w:pPr>
            <w:r w:rsidRPr="008E603B">
              <w:rPr>
                <w:b/>
                <w:bCs/>
                <w:sz w:val="24"/>
                <w:szCs w:val="24"/>
                <w:lang w:val="en-US"/>
              </w:rPr>
              <w:t>Your Clinic</w:t>
            </w:r>
          </w:p>
        </w:tc>
        <w:tc>
          <w:tcPr>
            <w:tcW w:w="2776" w:type="dxa"/>
            <w:shd w:val="clear" w:color="auto" w:fill="BDD6EE" w:themeFill="accent1" w:themeFillTint="66"/>
            <w:hideMark/>
          </w:tcPr>
          <w:p w:rsidR="006C7615" w:rsidRPr="008E603B" w:rsidRDefault="006C7615" w:rsidP="00113860">
            <w:pPr>
              <w:jc w:val="center"/>
              <w:rPr>
                <w:sz w:val="24"/>
                <w:szCs w:val="24"/>
              </w:rPr>
            </w:pPr>
            <w:r w:rsidRPr="008E603B">
              <w:rPr>
                <w:b/>
                <w:bCs/>
                <w:sz w:val="24"/>
                <w:szCs w:val="24"/>
                <w:lang w:val="en-US"/>
              </w:rPr>
              <w:t>Canada</w:t>
            </w:r>
          </w:p>
        </w:tc>
      </w:tr>
      <w:tr w:rsidR="006C7615" w:rsidRPr="008E603B" w:rsidTr="007D792C">
        <w:trPr>
          <w:trHeight w:val="473"/>
        </w:trPr>
        <w:tc>
          <w:tcPr>
            <w:tcW w:w="3827" w:type="dxa"/>
            <w:shd w:val="clear" w:color="auto" w:fill="DEEAF6" w:themeFill="accent1" w:themeFillTint="33"/>
            <w:hideMark/>
          </w:tcPr>
          <w:p w:rsidR="006C7615" w:rsidRPr="008E603B" w:rsidRDefault="006C7615" w:rsidP="00472B1C">
            <w:pPr>
              <w:rPr>
                <w:b/>
                <w:sz w:val="24"/>
                <w:szCs w:val="24"/>
              </w:rPr>
            </w:pPr>
            <w:r w:rsidRPr="008E603B">
              <w:rPr>
                <w:b/>
                <w:sz w:val="24"/>
                <w:szCs w:val="24"/>
              </w:rPr>
              <w:t>Care Rating</w:t>
            </w:r>
            <w:r w:rsidR="00113860">
              <w:rPr>
                <w:b/>
                <w:sz w:val="24"/>
                <w:szCs w:val="24"/>
              </w:rPr>
              <w:t xml:space="preserve"> </w:t>
            </w:r>
          </w:p>
        </w:tc>
        <w:tc>
          <w:tcPr>
            <w:tcW w:w="4130" w:type="dxa"/>
            <w:hideMark/>
          </w:tcPr>
          <w:p w:rsidR="006C7615" w:rsidRPr="008E603B" w:rsidRDefault="006C7615" w:rsidP="00A11E84">
            <w:pPr>
              <w:rPr>
                <w:sz w:val="24"/>
                <w:szCs w:val="24"/>
              </w:rPr>
            </w:pPr>
          </w:p>
        </w:tc>
        <w:tc>
          <w:tcPr>
            <w:tcW w:w="2776" w:type="dxa"/>
            <w:hideMark/>
          </w:tcPr>
          <w:p w:rsidR="006C7615" w:rsidRPr="009701DA" w:rsidRDefault="0099534A" w:rsidP="00113860">
            <w:pPr>
              <w:jc w:val="center"/>
              <w:rPr>
                <w:sz w:val="24"/>
                <w:szCs w:val="24"/>
                <w:vertAlign w:val="superscript"/>
              </w:rPr>
            </w:pPr>
            <w:r w:rsidRPr="006F532A">
              <w:rPr>
                <w:sz w:val="24"/>
                <w:szCs w:val="24"/>
              </w:rPr>
              <w:t>76%</w:t>
            </w:r>
            <w:r w:rsidR="00472B1C">
              <w:rPr>
                <w:sz w:val="24"/>
                <w:szCs w:val="24"/>
              </w:rPr>
              <w:t xml:space="preserve"> </w:t>
            </w:r>
            <w:r w:rsidR="00472B1C" w:rsidRPr="00472B1C">
              <w:rPr>
                <w:sz w:val="24"/>
                <w:szCs w:val="24"/>
              </w:rPr>
              <w:t>(rated excellent or very good)</w:t>
            </w:r>
            <w:r w:rsidR="009701DA">
              <w:rPr>
                <w:sz w:val="24"/>
                <w:szCs w:val="24"/>
                <w:vertAlign w:val="superscript"/>
              </w:rPr>
              <w:t>a</w:t>
            </w:r>
          </w:p>
        </w:tc>
      </w:tr>
      <w:tr w:rsidR="00E91A1E" w:rsidRPr="008E603B" w:rsidTr="007D792C">
        <w:trPr>
          <w:trHeight w:val="473"/>
        </w:trPr>
        <w:tc>
          <w:tcPr>
            <w:tcW w:w="3827" w:type="dxa"/>
            <w:shd w:val="clear" w:color="auto" w:fill="DEEAF6" w:themeFill="accent1" w:themeFillTint="33"/>
          </w:tcPr>
          <w:p w:rsidR="00E91A1E" w:rsidRPr="008E603B" w:rsidRDefault="00E91A1E" w:rsidP="00472B1C">
            <w:pPr>
              <w:rPr>
                <w:b/>
                <w:sz w:val="24"/>
                <w:szCs w:val="24"/>
              </w:rPr>
            </w:pPr>
          </w:p>
        </w:tc>
        <w:tc>
          <w:tcPr>
            <w:tcW w:w="4130" w:type="dxa"/>
          </w:tcPr>
          <w:p w:rsidR="00E91A1E" w:rsidRPr="008E603B" w:rsidRDefault="00E91A1E" w:rsidP="00A11E84">
            <w:pPr>
              <w:rPr>
                <w:sz w:val="24"/>
                <w:szCs w:val="24"/>
              </w:rPr>
            </w:pPr>
          </w:p>
        </w:tc>
        <w:tc>
          <w:tcPr>
            <w:tcW w:w="2776" w:type="dxa"/>
          </w:tcPr>
          <w:p w:rsidR="00E91A1E" w:rsidRPr="006F532A" w:rsidRDefault="00E91A1E" w:rsidP="00113860">
            <w:pPr>
              <w:jc w:val="center"/>
              <w:rPr>
                <w:sz w:val="24"/>
                <w:szCs w:val="24"/>
              </w:rPr>
            </w:pPr>
          </w:p>
        </w:tc>
      </w:tr>
      <w:tr w:rsidR="00E91A1E" w:rsidRPr="008E603B" w:rsidTr="007D792C">
        <w:trPr>
          <w:trHeight w:val="473"/>
        </w:trPr>
        <w:tc>
          <w:tcPr>
            <w:tcW w:w="3827" w:type="dxa"/>
            <w:shd w:val="clear" w:color="auto" w:fill="DEEAF6" w:themeFill="accent1" w:themeFillTint="33"/>
          </w:tcPr>
          <w:p w:rsidR="00E91A1E" w:rsidRPr="008E603B" w:rsidRDefault="00E91A1E" w:rsidP="00472B1C">
            <w:pPr>
              <w:rPr>
                <w:b/>
                <w:sz w:val="24"/>
                <w:szCs w:val="24"/>
              </w:rPr>
            </w:pPr>
          </w:p>
        </w:tc>
        <w:tc>
          <w:tcPr>
            <w:tcW w:w="4130" w:type="dxa"/>
          </w:tcPr>
          <w:p w:rsidR="00E91A1E" w:rsidRPr="008E603B" w:rsidRDefault="00E91A1E" w:rsidP="00A11E84">
            <w:pPr>
              <w:rPr>
                <w:sz w:val="24"/>
                <w:szCs w:val="24"/>
              </w:rPr>
            </w:pPr>
          </w:p>
        </w:tc>
        <w:tc>
          <w:tcPr>
            <w:tcW w:w="2776" w:type="dxa"/>
          </w:tcPr>
          <w:p w:rsidR="00E91A1E" w:rsidRPr="006F532A" w:rsidRDefault="00E91A1E" w:rsidP="00113860">
            <w:pPr>
              <w:jc w:val="center"/>
              <w:rPr>
                <w:sz w:val="24"/>
                <w:szCs w:val="24"/>
              </w:rPr>
            </w:pPr>
          </w:p>
        </w:tc>
      </w:tr>
      <w:tr w:rsidR="00E91A1E" w:rsidRPr="008E603B" w:rsidTr="007D792C">
        <w:trPr>
          <w:trHeight w:val="473"/>
        </w:trPr>
        <w:tc>
          <w:tcPr>
            <w:tcW w:w="3827" w:type="dxa"/>
            <w:shd w:val="clear" w:color="auto" w:fill="DEEAF6" w:themeFill="accent1" w:themeFillTint="33"/>
          </w:tcPr>
          <w:p w:rsidR="00E91A1E" w:rsidRPr="008E603B" w:rsidRDefault="00E91A1E" w:rsidP="00472B1C">
            <w:pPr>
              <w:rPr>
                <w:b/>
                <w:sz w:val="24"/>
                <w:szCs w:val="24"/>
              </w:rPr>
            </w:pPr>
          </w:p>
        </w:tc>
        <w:tc>
          <w:tcPr>
            <w:tcW w:w="4130" w:type="dxa"/>
          </w:tcPr>
          <w:p w:rsidR="00E91A1E" w:rsidRPr="008E603B" w:rsidRDefault="00E91A1E" w:rsidP="00A11E84">
            <w:pPr>
              <w:rPr>
                <w:sz w:val="24"/>
                <w:szCs w:val="24"/>
              </w:rPr>
            </w:pPr>
          </w:p>
        </w:tc>
        <w:tc>
          <w:tcPr>
            <w:tcW w:w="2776" w:type="dxa"/>
          </w:tcPr>
          <w:p w:rsidR="00E91A1E" w:rsidRPr="006F532A" w:rsidRDefault="00E91A1E" w:rsidP="00113860">
            <w:pPr>
              <w:jc w:val="center"/>
              <w:rPr>
                <w:sz w:val="24"/>
                <w:szCs w:val="24"/>
              </w:rPr>
            </w:pPr>
          </w:p>
        </w:tc>
      </w:tr>
      <w:tr w:rsidR="00E91A1E" w:rsidRPr="008E603B" w:rsidTr="007D792C">
        <w:trPr>
          <w:trHeight w:val="473"/>
        </w:trPr>
        <w:tc>
          <w:tcPr>
            <w:tcW w:w="3827" w:type="dxa"/>
            <w:shd w:val="clear" w:color="auto" w:fill="DEEAF6" w:themeFill="accent1" w:themeFillTint="33"/>
          </w:tcPr>
          <w:p w:rsidR="00E91A1E" w:rsidRPr="008E603B" w:rsidRDefault="00E91A1E" w:rsidP="00472B1C">
            <w:pPr>
              <w:rPr>
                <w:b/>
                <w:sz w:val="24"/>
                <w:szCs w:val="24"/>
              </w:rPr>
            </w:pPr>
          </w:p>
        </w:tc>
        <w:tc>
          <w:tcPr>
            <w:tcW w:w="4130" w:type="dxa"/>
          </w:tcPr>
          <w:p w:rsidR="00E91A1E" w:rsidRPr="008E603B" w:rsidRDefault="00E91A1E" w:rsidP="00A11E84">
            <w:pPr>
              <w:rPr>
                <w:sz w:val="24"/>
                <w:szCs w:val="24"/>
              </w:rPr>
            </w:pPr>
          </w:p>
        </w:tc>
        <w:tc>
          <w:tcPr>
            <w:tcW w:w="2776" w:type="dxa"/>
          </w:tcPr>
          <w:p w:rsidR="00E91A1E" w:rsidRPr="006F532A" w:rsidRDefault="00E91A1E" w:rsidP="00113860">
            <w:pPr>
              <w:jc w:val="center"/>
              <w:rPr>
                <w:sz w:val="24"/>
                <w:szCs w:val="24"/>
              </w:rPr>
            </w:pPr>
          </w:p>
        </w:tc>
      </w:tr>
    </w:tbl>
    <w:p w:rsidR="006C7615" w:rsidRPr="008E603B" w:rsidRDefault="006C7615" w:rsidP="008D1A51">
      <w:pPr>
        <w:tabs>
          <w:tab w:val="left" w:pos="7730"/>
        </w:tabs>
        <w:rPr>
          <w:sz w:val="24"/>
          <w:szCs w:val="24"/>
        </w:rPr>
      </w:pPr>
    </w:p>
    <w:p w:rsidR="00732AF8" w:rsidRDefault="00732AF8" w:rsidP="006C7615">
      <w:pPr>
        <w:tabs>
          <w:tab w:val="left" w:pos="5626"/>
        </w:tabs>
        <w:rPr>
          <w:sz w:val="24"/>
          <w:szCs w:val="24"/>
        </w:rPr>
      </w:pPr>
    </w:p>
    <w:p w:rsidR="00182555" w:rsidRDefault="00182555" w:rsidP="006C7615">
      <w:pPr>
        <w:tabs>
          <w:tab w:val="left" w:pos="5626"/>
        </w:tabs>
        <w:rPr>
          <w:sz w:val="24"/>
          <w:szCs w:val="24"/>
        </w:rPr>
      </w:pPr>
    </w:p>
    <w:p w:rsidR="00732AF8" w:rsidRDefault="00732AF8" w:rsidP="006C7615">
      <w:pPr>
        <w:tabs>
          <w:tab w:val="left" w:pos="5626"/>
        </w:tabs>
        <w:rPr>
          <w:sz w:val="24"/>
          <w:szCs w:val="24"/>
        </w:rPr>
      </w:pPr>
    </w:p>
    <w:p w:rsidR="00732F0A" w:rsidRDefault="00732F0A" w:rsidP="006C7615">
      <w:pPr>
        <w:tabs>
          <w:tab w:val="left" w:pos="5626"/>
        </w:tabs>
        <w:rPr>
          <w:sz w:val="24"/>
          <w:szCs w:val="24"/>
        </w:rPr>
      </w:pPr>
    </w:p>
    <w:p w:rsidR="00732F0A" w:rsidRDefault="00732F0A" w:rsidP="006C7615">
      <w:pPr>
        <w:tabs>
          <w:tab w:val="left" w:pos="5626"/>
        </w:tabs>
        <w:rPr>
          <w:sz w:val="24"/>
          <w:szCs w:val="24"/>
        </w:rPr>
      </w:pPr>
    </w:p>
    <w:p w:rsidR="00732F0A" w:rsidRDefault="00732F0A" w:rsidP="006C7615">
      <w:pPr>
        <w:tabs>
          <w:tab w:val="left" w:pos="5626"/>
        </w:tabs>
        <w:rPr>
          <w:sz w:val="24"/>
          <w:szCs w:val="24"/>
        </w:rPr>
      </w:pPr>
    </w:p>
    <w:p w:rsidR="00732F0A" w:rsidRDefault="00732F0A" w:rsidP="006C7615">
      <w:pPr>
        <w:tabs>
          <w:tab w:val="left" w:pos="5626"/>
        </w:tabs>
        <w:rPr>
          <w:sz w:val="24"/>
          <w:szCs w:val="24"/>
        </w:rPr>
      </w:pPr>
    </w:p>
    <w:p w:rsidR="00732F0A" w:rsidRDefault="00732F0A" w:rsidP="006C7615">
      <w:pPr>
        <w:tabs>
          <w:tab w:val="left" w:pos="5626"/>
        </w:tabs>
        <w:rPr>
          <w:sz w:val="24"/>
          <w:szCs w:val="24"/>
        </w:rPr>
      </w:pPr>
    </w:p>
    <w:p w:rsidR="00160FC4" w:rsidRDefault="00160FC4" w:rsidP="006C7615">
      <w:pPr>
        <w:tabs>
          <w:tab w:val="left" w:pos="5626"/>
        </w:tabs>
        <w:rPr>
          <w:sz w:val="24"/>
          <w:szCs w:val="24"/>
        </w:rPr>
      </w:pPr>
    </w:p>
    <w:p w:rsidR="000B07FF" w:rsidRDefault="000B07FF" w:rsidP="006C7615">
      <w:pPr>
        <w:tabs>
          <w:tab w:val="left" w:pos="5626"/>
        </w:tabs>
        <w:rPr>
          <w:sz w:val="24"/>
          <w:szCs w:val="24"/>
        </w:rPr>
      </w:pPr>
    </w:p>
    <w:p w:rsidR="00A36DD0" w:rsidRDefault="00A36DD0" w:rsidP="006C7615">
      <w:pPr>
        <w:tabs>
          <w:tab w:val="left" w:pos="5626"/>
        </w:tabs>
        <w:rPr>
          <w:sz w:val="24"/>
          <w:szCs w:val="24"/>
        </w:rPr>
      </w:pPr>
    </w:p>
    <w:p w:rsidR="00732F0A" w:rsidRPr="008E603B" w:rsidRDefault="00732F0A" w:rsidP="006C7615">
      <w:pPr>
        <w:tabs>
          <w:tab w:val="left" w:pos="5626"/>
        </w:tabs>
        <w:rPr>
          <w:sz w:val="24"/>
          <w:szCs w:val="24"/>
        </w:rPr>
      </w:pPr>
    </w:p>
    <w:p w:rsidR="0099534A" w:rsidRPr="00AA3435" w:rsidRDefault="009701DA" w:rsidP="006C7615">
      <w:pPr>
        <w:pBdr>
          <w:bottom w:val="single" w:sz="6" w:space="1" w:color="auto"/>
        </w:pBdr>
        <w:tabs>
          <w:tab w:val="left" w:pos="5626"/>
        </w:tabs>
        <w:rPr>
          <w:szCs w:val="24"/>
        </w:rPr>
      </w:pPr>
      <w:r w:rsidRPr="00AA3435">
        <w:rPr>
          <w:szCs w:val="24"/>
          <w:vertAlign w:val="superscript"/>
        </w:rPr>
        <w:t>a</w:t>
      </w:r>
      <w:r w:rsidRPr="00AA3435">
        <w:rPr>
          <w:szCs w:val="24"/>
        </w:rPr>
        <w:t xml:space="preserve"> </w:t>
      </w:r>
      <w:r w:rsidR="0099534A" w:rsidRPr="00AA3435">
        <w:rPr>
          <w:szCs w:val="24"/>
        </w:rPr>
        <w:t xml:space="preserve">Canadian Survey of Experiences with Primary Health Care (CSE-PHC) participants were asked: </w:t>
      </w:r>
      <w:r w:rsidR="0099534A" w:rsidRPr="00AA3435">
        <w:rPr>
          <w:b/>
          <w:bCs/>
          <w:szCs w:val="24"/>
        </w:rPr>
        <w:t>“</w:t>
      </w:r>
      <w:r w:rsidR="0099534A" w:rsidRPr="00AA3435">
        <w:rPr>
          <w:b/>
          <w:bCs/>
          <w:i/>
          <w:iCs/>
          <w:szCs w:val="24"/>
        </w:rPr>
        <w:t xml:space="preserve">Overall, how do you rate the quality of health care that you have received in the past 12 months from the family physician (or GP) you rely on most for your care?”. </w:t>
      </w:r>
      <w:r w:rsidR="0099534A" w:rsidRPr="00AA3435">
        <w:rPr>
          <w:szCs w:val="24"/>
        </w:rPr>
        <w:t xml:space="preserve">Canadian Institute for Health Information. (2009). Experiences with primary health care in Canada. Ottawa, ON: Canadian Institute for Health Information. Available here: </w:t>
      </w:r>
      <w:hyperlink r:id="rId10" w:history="1">
        <w:r w:rsidR="0099534A" w:rsidRPr="00AA3435">
          <w:rPr>
            <w:rStyle w:val="Hyperlink"/>
            <w:szCs w:val="24"/>
          </w:rPr>
          <w:t>https://secure.cihi.ca/free_products/cse_phc_aib_en.pdf</w:t>
        </w:r>
      </w:hyperlink>
      <w:r w:rsidR="0099534A" w:rsidRPr="00AA3435">
        <w:rPr>
          <w:szCs w:val="24"/>
        </w:rPr>
        <w:t xml:space="preserve"> </w:t>
      </w:r>
    </w:p>
    <w:p w:rsidR="00AA3435" w:rsidRDefault="00AA3435" w:rsidP="00AA3435"/>
    <w:p w:rsidR="00AA3435" w:rsidRDefault="00AA3435" w:rsidP="00AA3435">
      <w:pPr>
        <w:pStyle w:val="Heading1"/>
      </w:pPr>
      <w:r>
        <w:lastRenderedPageBreak/>
        <w:t>Sources:</w:t>
      </w:r>
    </w:p>
    <w:p w:rsidR="00AA3435" w:rsidRPr="00AA3435" w:rsidRDefault="00AA3435" w:rsidP="00AA3435"/>
    <w:p w:rsidR="00AA3435" w:rsidRDefault="00E1352A" w:rsidP="00E1352A">
      <w:r w:rsidRPr="005E7EB0">
        <w:rPr>
          <w:vertAlign w:val="superscript"/>
        </w:rPr>
        <w:t>1</w:t>
      </w:r>
      <w:r>
        <w:t xml:space="preserve"> Statistics Canada. 2013. Table 105-0501. Health indicator profile, annual estimates, by age group and sex, Canada, provinces, territories, health regions </w:t>
      </w:r>
      <w:bookmarkStart w:id="0" w:name="_GoBack"/>
      <w:bookmarkEnd w:id="0"/>
      <w:r>
        <w:t xml:space="preserve">(2013 boundaries) and peer groups. CANSIM database. Last modified 2014-06-12. Accessed June 18 2014. Available here: </w:t>
      </w:r>
      <w:hyperlink r:id="rId11" w:history="1">
        <w:r w:rsidRPr="004A77D6">
          <w:rPr>
            <w:rStyle w:val="Hyperlink"/>
          </w:rPr>
          <w:t>http://www5.statcan.gc.ca/cansim/a26?lang=eng&amp;retrLang=eng&amp;id=1050501&amp;paSer=&amp;pattern=&amp;stByVal=1&amp;p1=1&amp;p2=37&amp;tabMode=dataTable&amp;csid</w:t>
        </w:r>
      </w:hyperlink>
      <w:r>
        <w:t xml:space="preserve">= </w:t>
      </w:r>
      <w:r>
        <w:tab/>
      </w:r>
      <w:r>
        <w:tab/>
      </w:r>
      <w:r>
        <w:tab/>
      </w:r>
      <w:r>
        <w:tab/>
        <w:t xml:space="preserve">                         </w:t>
      </w:r>
      <w:r>
        <w:tab/>
        <w:t xml:space="preserve">            </w:t>
      </w:r>
    </w:p>
    <w:p w:rsidR="00AA3435" w:rsidRDefault="00E1352A" w:rsidP="00E1352A">
      <w:r w:rsidRPr="005E7EB0">
        <w:rPr>
          <w:vertAlign w:val="superscript"/>
        </w:rPr>
        <w:t>2</w:t>
      </w:r>
      <w:r>
        <w:t xml:space="preserve"> Health Canada. 2010. Summary Report on the findings of the oral health component of the Canadian Health Measures Survey 2007-2009. Government of Canada. Ottawa. Accessed June 19 2014. Available here: </w:t>
      </w:r>
      <w:hyperlink r:id="rId12" w:history="1">
        <w:r w:rsidRPr="004A77D6">
          <w:rPr>
            <w:rStyle w:val="Hyperlink"/>
          </w:rPr>
          <w:t>http://www.fptdwg.ca/assets/PDF/CHMS/CHMS-E-summ.pdf</w:t>
        </w:r>
      </w:hyperlink>
      <w:r>
        <w:t xml:space="preserve"> </w:t>
      </w:r>
      <w:r>
        <w:tab/>
      </w:r>
      <w:r>
        <w:tab/>
        <w:t xml:space="preserve">         </w:t>
      </w:r>
      <w:r>
        <w:tab/>
        <w:t xml:space="preserve">                             </w:t>
      </w:r>
    </w:p>
    <w:p w:rsidR="00AA3435" w:rsidRDefault="00E1352A" w:rsidP="00E1352A">
      <w:r w:rsidRPr="005E7EB0">
        <w:rPr>
          <w:vertAlign w:val="superscript"/>
        </w:rPr>
        <w:t>3</w:t>
      </w:r>
      <w:r>
        <w:t xml:space="preserve"> Carolyn Pearson, Teresa Janz and Jennifer Ali. Statistics Canada. 2013. Health at a Glance: Mental and substance use disorders in Canada. Health Statistics Division. September 2013. Catalogue no.82-624-X.</w:t>
      </w:r>
      <w:r w:rsidRPr="003C6BE9">
        <w:t xml:space="preserve"> </w:t>
      </w:r>
      <w:hyperlink r:id="rId13" w:history="1">
        <w:r w:rsidRPr="004A77D6">
          <w:rPr>
            <w:rStyle w:val="Hyperlink"/>
          </w:rPr>
          <w:t>http://www5.statcan.gc.ca/cansim/a26?lang=eng&amp;retrLang=eng&amp;id=1050501&amp;paSer=&amp;pattern=&amp;stByVal=1&amp;p1=1&amp;p2=37&amp;tabMode=dataTable&amp;csid</w:t>
        </w:r>
      </w:hyperlink>
      <w:r>
        <w:t xml:space="preserve">= </w:t>
      </w:r>
      <w:r>
        <w:tab/>
      </w:r>
      <w:r>
        <w:tab/>
      </w:r>
      <w:r>
        <w:tab/>
      </w:r>
      <w:r>
        <w:tab/>
      </w:r>
      <w:r>
        <w:tab/>
      </w:r>
      <w:r>
        <w:tab/>
        <w:t xml:space="preserve">              </w:t>
      </w:r>
    </w:p>
    <w:p w:rsidR="00AA3435" w:rsidRDefault="00E1352A" w:rsidP="00E1352A">
      <w:r w:rsidRPr="005E7EB0">
        <w:rPr>
          <w:vertAlign w:val="superscript"/>
        </w:rPr>
        <w:t>4</w:t>
      </w:r>
      <w:r>
        <w:t xml:space="preserve"> Canadian Mental Health Association. (2013). Get Informed: Post-Traumatic Stress Disorder. (Accessed January 28, 2014). Vancouver. </w:t>
      </w:r>
      <w:hyperlink r:id="rId14" w:history="1">
        <w:r w:rsidRPr="004A77D6">
          <w:rPr>
            <w:rStyle w:val="Hyperlink"/>
          </w:rPr>
          <w:t>http://www.cmha.bc.ca/get-informed/mental-health-information/ptsd</w:t>
        </w:r>
      </w:hyperlink>
      <w:r>
        <w:t xml:space="preserve">.                 </w:t>
      </w:r>
    </w:p>
    <w:p w:rsidR="00AA3435" w:rsidRDefault="00E1352A" w:rsidP="00E1352A">
      <w:r w:rsidRPr="005E7EB0">
        <w:rPr>
          <w:vertAlign w:val="superscript"/>
        </w:rPr>
        <w:t>5</w:t>
      </w:r>
      <w:r>
        <w:t xml:space="preserve"> Statistics Canada. (2013b). Section B: Anxiety Disorders: Part 6: Post-traumatic stress disorder (PTSD). (Accessed January 28, 2014).  </w:t>
      </w:r>
      <w:hyperlink r:id="rId15" w:anchor="a6" w:history="1">
        <w:r w:rsidRPr="004A77D6">
          <w:rPr>
            <w:rStyle w:val="Hyperlink"/>
          </w:rPr>
          <w:t>http://www.statcan.gc.ca/pub/82-619-m/2012004/sections/sectionb-eng.htm#a6</w:t>
        </w:r>
      </w:hyperlink>
      <w:r>
        <w:t>.</w:t>
      </w:r>
      <w:r>
        <w:tab/>
      </w:r>
      <w:r>
        <w:tab/>
      </w:r>
      <w:r>
        <w:tab/>
      </w:r>
      <w:r>
        <w:tab/>
      </w:r>
      <w:r>
        <w:tab/>
      </w:r>
      <w:r>
        <w:tab/>
      </w:r>
      <w:r>
        <w:tab/>
      </w:r>
      <w:r>
        <w:tab/>
      </w:r>
      <w:r>
        <w:tab/>
      </w:r>
      <w:r>
        <w:tab/>
      </w:r>
      <w:r>
        <w:tab/>
        <w:t xml:space="preserve">              </w:t>
      </w:r>
    </w:p>
    <w:p w:rsidR="00AA3435" w:rsidRDefault="00E1352A" w:rsidP="00E1352A">
      <w:r w:rsidRPr="005E7EB0">
        <w:rPr>
          <w:vertAlign w:val="superscript"/>
        </w:rPr>
        <w:t>6</w:t>
      </w:r>
      <w:r>
        <w:t xml:space="preserve"> Statistics Canada. (2011). Health at a Glance: Injuries in Canada: Insights from the Canadian Community Health Survey. (Accessed February 3, 2014). Ottawa: Statistics Canada.</w:t>
      </w:r>
      <w:r>
        <w:tab/>
        <w:t xml:space="preserve">                                </w:t>
      </w:r>
    </w:p>
    <w:p w:rsidR="00AA3435" w:rsidRDefault="00E1352A" w:rsidP="00E1352A">
      <w:r w:rsidRPr="005E7EB0">
        <w:rPr>
          <w:vertAlign w:val="superscript"/>
        </w:rPr>
        <w:t>7</w:t>
      </w:r>
      <w:r>
        <w:t xml:space="preserve"> Public Health Agency of Canada. 2013. At a Glance- HIV and AIDS in Canada: Surveillance Report to December 31st 2012. Centre for Communicable Diseases and Infection Control. Ottawa. Accessed June 19 2014. Available here: </w:t>
      </w:r>
      <w:hyperlink r:id="rId16" w:history="1">
        <w:r w:rsidRPr="004A77D6">
          <w:rPr>
            <w:rStyle w:val="Hyperlink"/>
          </w:rPr>
          <w:t>http://www.phac-aspc.gc.ca/aids-sida/publication/survreport/2012/dec/index-eng.php</w:t>
        </w:r>
      </w:hyperlink>
      <w:r>
        <w:t xml:space="preserve">  </w:t>
      </w:r>
      <w:r>
        <w:tab/>
      </w:r>
      <w:r>
        <w:tab/>
      </w:r>
      <w:r>
        <w:tab/>
      </w:r>
      <w:r>
        <w:tab/>
        <w:t xml:space="preserve">                                                                                                              </w:t>
      </w:r>
    </w:p>
    <w:p w:rsidR="00AA3435" w:rsidRDefault="00E1352A" w:rsidP="00E1352A">
      <w:r w:rsidRPr="005E7EB0">
        <w:rPr>
          <w:vertAlign w:val="superscript"/>
        </w:rPr>
        <w:t>8</w:t>
      </w:r>
      <w:r>
        <w:t xml:space="preserve"> Canada. (2011). Hepatitis C in Canada: 2005-2010 Surveillance Report. Accessed June 19 2014. Available here: </w:t>
      </w:r>
      <w:hyperlink r:id="rId17" w:history="1">
        <w:r w:rsidRPr="004A77D6">
          <w:rPr>
            <w:rStyle w:val="Hyperlink"/>
          </w:rPr>
          <w:t>http://www.phac-aspc.gc.ca/sti-its-surv-epi/hepc/surv-eng.php</w:t>
        </w:r>
      </w:hyperlink>
      <w:r>
        <w:t xml:space="preserve">  </w:t>
      </w:r>
      <w:r>
        <w:tab/>
      </w:r>
      <w:r>
        <w:tab/>
      </w:r>
      <w:r>
        <w:tab/>
        <w:t xml:space="preserve">                            </w:t>
      </w:r>
    </w:p>
    <w:p w:rsidR="00AA3435" w:rsidRDefault="00E1352A" w:rsidP="00E1352A">
      <w:r w:rsidRPr="005E7EB0">
        <w:rPr>
          <w:vertAlign w:val="superscript"/>
        </w:rPr>
        <w:t>9</w:t>
      </w:r>
      <w:r>
        <w:t xml:space="preserve"> Public Health Agency of Canada. 2009. Tracking Heart Disease and Stroke in Canada, 2009. Accessed June 19 2014. Available here: </w:t>
      </w:r>
      <w:hyperlink r:id="rId18" w:history="1">
        <w:r w:rsidRPr="004A77D6">
          <w:rPr>
            <w:rStyle w:val="Hyperlink"/>
          </w:rPr>
          <w:t>http://www.phac-aspc.gc.ca/publicat/2009/cvd-avc/pdf/cvd-avs-2009-eng.pdf</w:t>
        </w:r>
      </w:hyperlink>
      <w:r>
        <w:t xml:space="preserve">  </w:t>
      </w:r>
      <w:r>
        <w:tab/>
      </w:r>
      <w:r>
        <w:tab/>
      </w:r>
      <w:r>
        <w:tab/>
      </w:r>
      <w:r>
        <w:tab/>
      </w:r>
      <w:r>
        <w:tab/>
      </w:r>
      <w:r>
        <w:tab/>
      </w:r>
      <w:r>
        <w:tab/>
        <w:t xml:space="preserve">                                                                      </w:t>
      </w:r>
    </w:p>
    <w:p w:rsidR="00AA3435" w:rsidRDefault="00E1352A" w:rsidP="00E1352A">
      <w:r w:rsidRPr="005E7EB0">
        <w:rPr>
          <w:vertAlign w:val="superscript"/>
        </w:rPr>
        <w:t>10</w:t>
      </w:r>
      <w:r>
        <w:t xml:space="preserve"> Statistics Canada (2012). Census Profile 2011 Census. Statistics Canada Catalogue no. 98-316-XWE. Ottawa. Released September 19, 2012. </w:t>
      </w:r>
      <w:hyperlink r:id="rId19" w:history="1">
        <w:r w:rsidRPr="004A77D6">
          <w:rPr>
            <w:rStyle w:val="Hyperlink"/>
          </w:rPr>
          <w:t>http://www12.statcan.gc.ca/census-recensement/2011/dp-pd/prof/index.cfm?Lang=E</w:t>
        </w:r>
      </w:hyperlink>
      <w:r>
        <w:t xml:space="preserve">.   </w:t>
      </w:r>
      <w:r>
        <w:tab/>
      </w:r>
      <w:r>
        <w:tab/>
      </w:r>
      <w:r>
        <w:tab/>
      </w:r>
      <w:r>
        <w:tab/>
      </w:r>
      <w:r>
        <w:tab/>
      </w:r>
      <w:r>
        <w:tab/>
      </w:r>
      <w:r>
        <w:tab/>
      </w:r>
      <w:r>
        <w:tab/>
        <w:t xml:space="preserve">                         </w:t>
      </w:r>
    </w:p>
    <w:p w:rsidR="00AA3435" w:rsidRDefault="00E1352A" w:rsidP="00E1352A">
      <w:r>
        <w:rPr>
          <w:vertAlign w:val="superscript"/>
        </w:rPr>
        <w:t>11</w:t>
      </w:r>
      <w:r w:rsidRPr="00D93933">
        <w:rPr>
          <w:sz w:val="24"/>
          <w:szCs w:val="24"/>
          <w:vertAlign w:val="superscript"/>
        </w:rPr>
        <w:t xml:space="preserve"> </w:t>
      </w:r>
      <w:r w:rsidRPr="005E7EB0">
        <w:t xml:space="preserve">Statistics Canada. 2011. </w:t>
      </w:r>
      <w:r w:rsidRPr="005E7EB0">
        <w:rPr>
          <w:bCs/>
          <w:lang w:val="en-US"/>
        </w:rPr>
        <w:t>Aboriginal Peoples in Canada: First Nations People, Métis and Inuit</w:t>
      </w:r>
      <w:r w:rsidRPr="005E7EB0">
        <w:t xml:space="preserve">. Available here: </w:t>
      </w:r>
      <w:hyperlink r:id="rId20" w:history="1">
        <w:r w:rsidRPr="005E7EB0">
          <w:rPr>
            <w:rStyle w:val="Hyperlink"/>
          </w:rPr>
          <w:t>http://www12.statcan.gc.ca/nhs-enm/2011/as-sa/99-011-x/99-011-x2011001-eng.cfm</w:t>
        </w:r>
      </w:hyperlink>
      <w:r>
        <w:rPr>
          <w:sz w:val="24"/>
          <w:szCs w:val="24"/>
        </w:rPr>
        <w:t xml:space="preserve"> </w:t>
      </w:r>
      <w:r>
        <w:tab/>
        <w:t xml:space="preserve">            </w:t>
      </w:r>
    </w:p>
    <w:p w:rsidR="00AA3435" w:rsidRDefault="00E1352A" w:rsidP="00E1352A">
      <w:r w:rsidRPr="00A37E38">
        <w:rPr>
          <w:vertAlign w:val="superscript"/>
        </w:rPr>
        <w:t>12</w:t>
      </w:r>
      <w:r>
        <w:t xml:space="preserve"> Statistics Canada, 2011 National Household Survey, Statistics Canada Catalogue no. 99-011-X2011026. [calculation from data provided]. </w:t>
      </w:r>
      <w:hyperlink r:id="rId21" w:history="1">
        <w:r w:rsidRPr="004A77D6">
          <w:rPr>
            <w:rStyle w:val="Hyperlink"/>
          </w:rPr>
          <w:t>http://www12.statcan.gc.ca/nhs-enm/2011/dp-pd/dt-td/Rp-</w:t>
        </w:r>
        <w:r w:rsidRPr="004A77D6">
          <w:rPr>
            <w:rStyle w:val="Hyperlink"/>
          </w:rPr>
          <w:lastRenderedPageBreak/>
          <w:t>eng.cfm?LANG=E&amp;APATH=3&amp;DETAIL=0&amp;DIM=0&amp;FL=A&amp;FREE=0&amp;GC=0&amp;GID=0&amp;GK=0&amp;GRP=0&amp;PID=105401&amp;PRID=0&amp;PTYPE=105277&amp;S=0&amp;SHOWALL=0&amp;SUB=0&amp;Temporal=2013&amp;THEME=94&amp;VID=0&amp;VNAMEE=&amp;VNAMEF</w:t>
        </w:r>
      </w:hyperlink>
      <w:r>
        <w:t xml:space="preserve">=.    </w:t>
      </w:r>
      <w:r>
        <w:tab/>
      </w:r>
      <w:r>
        <w:tab/>
      </w:r>
      <w:r>
        <w:tab/>
      </w:r>
      <w:r>
        <w:tab/>
      </w:r>
      <w:r>
        <w:tab/>
      </w:r>
      <w:r>
        <w:tab/>
      </w:r>
      <w:r>
        <w:tab/>
        <w:t xml:space="preserve">                    </w:t>
      </w:r>
    </w:p>
    <w:p w:rsidR="00AA3435" w:rsidRDefault="00E1352A" w:rsidP="00E1352A">
      <w:r w:rsidRPr="00A37E38">
        <w:rPr>
          <w:vertAlign w:val="superscript"/>
        </w:rPr>
        <w:t>13</w:t>
      </w:r>
      <w:r>
        <w:t xml:space="preserve"> Statistics Canada (2013). Portrait of Canada’s Labour Force, National Household Survey 2011. Catalogue no. 99-012-X2011002, ISBN: 978-1-100-22408-4. Ottawa: Ministry of Labour. </w:t>
      </w:r>
      <w:hyperlink r:id="rId22" w:history="1">
        <w:r w:rsidRPr="004A77D6">
          <w:rPr>
            <w:rStyle w:val="Hyperlink"/>
          </w:rPr>
          <w:t>http://www12.statcan.gc.ca/nhs-enm/2011/as-sa/99-012-x/99-012-x2011002-eng.pdf</w:t>
        </w:r>
      </w:hyperlink>
      <w:r>
        <w:t xml:space="preserve">.  </w:t>
      </w:r>
      <w:r>
        <w:tab/>
      </w:r>
      <w:r>
        <w:tab/>
        <w:t xml:space="preserve">                   </w:t>
      </w:r>
    </w:p>
    <w:p w:rsidR="00AA3435" w:rsidRDefault="00E1352A" w:rsidP="00E1352A">
      <w:r>
        <w:rPr>
          <w:vertAlign w:val="superscript"/>
        </w:rPr>
        <w:t>14</w:t>
      </w:r>
      <w:r>
        <w:t xml:space="preserve"> Government of Canada (2016). Education Highlight Tables </w:t>
      </w:r>
      <w:hyperlink r:id="rId23" w:history="1">
        <w:r w:rsidRPr="004A77D6">
          <w:rPr>
            <w:rStyle w:val="Hyperlink"/>
          </w:rPr>
          <w:t>http://www12.statcan.gc.ca/census-recensement/2016/dp-pd/hlt-fst/edu-sco/Table.cfm?Lang=E&amp;T=11&amp;Geo=00&amp;View=2&amp;Age=2</w:t>
        </w:r>
      </w:hyperlink>
      <w:r>
        <w:t xml:space="preserve">                     </w:t>
      </w:r>
    </w:p>
    <w:p w:rsidR="00E1352A" w:rsidRDefault="00E1352A" w:rsidP="00E1352A">
      <w:r>
        <w:rPr>
          <w:vertAlign w:val="superscript"/>
        </w:rPr>
        <w:t>15</w:t>
      </w:r>
      <w:r>
        <w:t xml:space="preserve"> Calculation using data from: Statistics Canada (2012). 2011 Census of Population. Statistics Canada Catalogue no. 98-313-XCB2011024. Ottawa: Minister of Industry. Table Selected Collective Dwelling and Population Characteristics (52) and Type of Collective Dwelling (17) for the Population in Collective Dwellings of Canada, Provinces and Territories, 2011 Census. </w:t>
      </w:r>
      <w:hyperlink r:id="rId24" w:history="1">
        <w:r w:rsidRPr="004A77D6">
          <w:rPr>
            <w:rStyle w:val="Hyperlink"/>
          </w:rPr>
          <w:t>http://www12.statcan.gc.ca/census-recensement/2011/dp-pd/tbt-tt/Rp-eng.cfm?LANG=E&amp;APATH=3&amp;DETAIL=0&amp;DIM=0&amp;FL=A&amp;FREE=0&amp;GC=0&amp;GID=0&amp;GK=0&amp;GRP=1&amp;PID=102239&amp;PRID=10&amp;PTYPE=101955&amp;S=0&amp;SHOWALL=0&amp;SUB=0&amp;Temporal=2011&amp;THEME=91&amp;VID=0&amp;VNAMEE=&amp;VNAMEF</w:t>
        </w:r>
      </w:hyperlink>
      <w:r>
        <w:t>= (Accessed Aug 8, 2017).</w:t>
      </w:r>
    </w:p>
    <w:p w:rsidR="00E1352A" w:rsidRPr="008E603B" w:rsidRDefault="00E1352A" w:rsidP="006C7615">
      <w:pPr>
        <w:tabs>
          <w:tab w:val="left" w:pos="5626"/>
        </w:tabs>
        <w:rPr>
          <w:sz w:val="24"/>
          <w:szCs w:val="24"/>
          <w:lang w:val="en-US"/>
        </w:rPr>
      </w:pPr>
    </w:p>
    <w:sectPr w:rsidR="00E1352A" w:rsidRPr="008E60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3B" w:rsidRDefault="008E603B" w:rsidP="008E603B">
      <w:pPr>
        <w:spacing w:after="0" w:line="240" w:lineRule="auto"/>
      </w:pPr>
      <w:r>
        <w:separator/>
      </w:r>
    </w:p>
  </w:endnote>
  <w:endnote w:type="continuationSeparator" w:id="0">
    <w:p w:rsidR="008E603B" w:rsidRDefault="008E603B" w:rsidP="008E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3B" w:rsidRDefault="008E603B" w:rsidP="008E603B">
      <w:pPr>
        <w:spacing w:after="0" w:line="240" w:lineRule="auto"/>
      </w:pPr>
      <w:r>
        <w:separator/>
      </w:r>
    </w:p>
  </w:footnote>
  <w:footnote w:type="continuationSeparator" w:id="0">
    <w:p w:rsidR="008E603B" w:rsidRDefault="008E603B" w:rsidP="008E6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51"/>
    <w:rsid w:val="000B07FF"/>
    <w:rsid w:val="000F62A3"/>
    <w:rsid w:val="00113860"/>
    <w:rsid w:val="00160FC4"/>
    <w:rsid w:val="00182555"/>
    <w:rsid w:val="002423BB"/>
    <w:rsid w:val="00275DEA"/>
    <w:rsid w:val="00350E1D"/>
    <w:rsid w:val="0038500C"/>
    <w:rsid w:val="003D60E6"/>
    <w:rsid w:val="004369BE"/>
    <w:rsid w:val="00470BA6"/>
    <w:rsid w:val="00472B1C"/>
    <w:rsid w:val="00485E5C"/>
    <w:rsid w:val="004C39B4"/>
    <w:rsid w:val="00514522"/>
    <w:rsid w:val="00546DE5"/>
    <w:rsid w:val="005A7B0D"/>
    <w:rsid w:val="00641A8F"/>
    <w:rsid w:val="00687DE1"/>
    <w:rsid w:val="006B63DF"/>
    <w:rsid w:val="006C7615"/>
    <w:rsid w:val="006E538E"/>
    <w:rsid w:val="006F532A"/>
    <w:rsid w:val="00732AF8"/>
    <w:rsid w:val="00732F0A"/>
    <w:rsid w:val="00756F63"/>
    <w:rsid w:val="00777B9C"/>
    <w:rsid w:val="007D792C"/>
    <w:rsid w:val="007F2DEB"/>
    <w:rsid w:val="00882F6B"/>
    <w:rsid w:val="008A31AE"/>
    <w:rsid w:val="008D1A51"/>
    <w:rsid w:val="008E603B"/>
    <w:rsid w:val="00922CF6"/>
    <w:rsid w:val="00927EA5"/>
    <w:rsid w:val="009701DA"/>
    <w:rsid w:val="009929C8"/>
    <w:rsid w:val="0099534A"/>
    <w:rsid w:val="009B089C"/>
    <w:rsid w:val="00A02D0C"/>
    <w:rsid w:val="00A36DD0"/>
    <w:rsid w:val="00A44923"/>
    <w:rsid w:val="00A64A9E"/>
    <w:rsid w:val="00A70ADD"/>
    <w:rsid w:val="00AA3435"/>
    <w:rsid w:val="00AA5F78"/>
    <w:rsid w:val="00AB2066"/>
    <w:rsid w:val="00B33CD0"/>
    <w:rsid w:val="00B74831"/>
    <w:rsid w:val="00C41473"/>
    <w:rsid w:val="00C874DB"/>
    <w:rsid w:val="00CB7A47"/>
    <w:rsid w:val="00CD389E"/>
    <w:rsid w:val="00CF181C"/>
    <w:rsid w:val="00D93933"/>
    <w:rsid w:val="00DC73DD"/>
    <w:rsid w:val="00DF63C6"/>
    <w:rsid w:val="00E1352A"/>
    <w:rsid w:val="00E50A00"/>
    <w:rsid w:val="00E65ECE"/>
    <w:rsid w:val="00E91A1E"/>
    <w:rsid w:val="00EB30A6"/>
    <w:rsid w:val="00F566C1"/>
    <w:rsid w:val="00F727A1"/>
    <w:rsid w:val="00F72D9C"/>
    <w:rsid w:val="00F74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423FF-0328-4F0B-B3EA-B9C96B3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A51"/>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64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34A"/>
    <w:rPr>
      <w:color w:val="0563C1" w:themeColor="hyperlink"/>
      <w:u w:val="single"/>
    </w:rPr>
  </w:style>
  <w:style w:type="table" w:styleId="GridTable4-Accent5">
    <w:name w:val="Grid Table 4 Accent 5"/>
    <w:basedOn w:val="TableNormal"/>
    <w:uiPriority w:val="49"/>
    <w:rsid w:val="00B748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B748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7Colorful-Accent5">
    <w:name w:val="List Table 7 Colorful Accent 5"/>
    <w:basedOn w:val="TableNormal"/>
    <w:uiPriority w:val="52"/>
    <w:rsid w:val="00B7483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748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D79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E603B"/>
    <w:rPr>
      <w:sz w:val="16"/>
      <w:szCs w:val="16"/>
    </w:rPr>
  </w:style>
  <w:style w:type="paragraph" w:styleId="CommentText">
    <w:name w:val="annotation text"/>
    <w:basedOn w:val="Normal"/>
    <w:link w:val="CommentTextChar"/>
    <w:uiPriority w:val="99"/>
    <w:unhideWhenUsed/>
    <w:rsid w:val="008E603B"/>
    <w:pPr>
      <w:spacing w:after="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8E603B"/>
    <w:rPr>
      <w:rFonts w:ascii="Times New Roman" w:hAnsi="Times New Roman"/>
      <w:sz w:val="20"/>
      <w:szCs w:val="20"/>
      <w:lang w:val="en-US"/>
    </w:rPr>
  </w:style>
  <w:style w:type="paragraph" w:styleId="EndnoteText">
    <w:name w:val="endnote text"/>
    <w:basedOn w:val="Normal"/>
    <w:link w:val="EndnoteTextChar"/>
    <w:uiPriority w:val="99"/>
    <w:unhideWhenUsed/>
    <w:rsid w:val="008E603B"/>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8E603B"/>
    <w:rPr>
      <w:rFonts w:ascii="Times New Roman" w:hAnsi="Times New Roman"/>
      <w:sz w:val="20"/>
      <w:szCs w:val="20"/>
      <w:lang w:val="en-US"/>
    </w:rPr>
  </w:style>
  <w:style w:type="character" w:styleId="EndnoteReference">
    <w:name w:val="endnote reference"/>
    <w:basedOn w:val="DefaultParagraphFont"/>
    <w:uiPriority w:val="99"/>
    <w:semiHidden/>
    <w:unhideWhenUsed/>
    <w:rsid w:val="008E603B"/>
    <w:rPr>
      <w:vertAlign w:val="superscript"/>
    </w:rPr>
  </w:style>
  <w:style w:type="paragraph" w:styleId="NoSpacing">
    <w:name w:val="No Spacing"/>
    <w:uiPriority w:val="1"/>
    <w:qFormat/>
    <w:rsid w:val="008E603B"/>
    <w:pPr>
      <w:spacing w:after="0" w:line="240" w:lineRule="auto"/>
    </w:pPr>
    <w:rPr>
      <w:rFonts w:ascii="Times New Roman" w:hAnsi="Times New Roman"/>
      <w:sz w:val="24"/>
      <w:lang w:val="en-US"/>
    </w:rPr>
  </w:style>
  <w:style w:type="paragraph" w:styleId="BalloonText">
    <w:name w:val="Balloon Text"/>
    <w:basedOn w:val="Normal"/>
    <w:link w:val="BalloonTextChar"/>
    <w:uiPriority w:val="99"/>
    <w:semiHidden/>
    <w:unhideWhenUsed/>
    <w:rsid w:val="008E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3B"/>
    <w:rPr>
      <w:rFonts w:ascii="Segoe UI" w:hAnsi="Segoe UI" w:cs="Segoe UI"/>
      <w:sz w:val="18"/>
      <w:szCs w:val="18"/>
    </w:rPr>
  </w:style>
  <w:style w:type="character" w:styleId="FollowedHyperlink">
    <w:name w:val="FollowedHyperlink"/>
    <w:basedOn w:val="DefaultParagraphFont"/>
    <w:uiPriority w:val="99"/>
    <w:semiHidden/>
    <w:unhideWhenUsed/>
    <w:rsid w:val="00472B1C"/>
    <w:rPr>
      <w:color w:val="954F72" w:themeColor="followedHyperlink"/>
      <w:u w:val="single"/>
    </w:rPr>
  </w:style>
  <w:style w:type="character" w:customStyle="1" w:styleId="Heading1Char">
    <w:name w:val="Heading 1 Char"/>
    <w:basedOn w:val="DefaultParagraphFont"/>
    <w:link w:val="Heading1"/>
    <w:uiPriority w:val="9"/>
    <w:rsid w:val="00D93933"/>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B07FF"/>
    <w:pPr>
      <w:spacing w:after="160"/>
    </w:pPr>
    <w:rPr>
      <w:rFonts w:asciiTheme="minorHAnsi" w:hAnsiTheme="minorHAnsi"/>
      <w:b/>
      <w:bCs/>
      <w:lang w:val="en-CA"/>
    </w:rPr>
  </w:style>
  <w:style w:type="character" w:customStyle="1" w:styleId="CommentSubjectChar">
    <w:name w:val="Comment Subject Char"/>
    <w:basedOn w:val="CommentTextChar"/>
    <w:link w:val="CommentSubject"/>
    <w:uiPriority w:val="99"/>
    <w:semiHidden/>
    <w:rsid w:val="000B07FF"/>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5961">
      <w:bodyDiv w:val="1"/>
      <w:marLeft w:val="0"/>
      <w:marRight w:val="0"/>
      <w:marTop w:val="0"/>
      <w:marBottom w:val="0"/>
      <w:divBdr>
        <w:top w:val="none" w:sz="0" w:space="0" w:color="auto"/>
        <w:left w:val="none" w:sz="0" w:space="0" w:color="auto"/>
        <w:bottom w:val="none" w:sz="0" w:space="0" w:color="auto"/>
        <w:right w:val="none" w:sz="0" w:space="0" w:color="auto"/>
      </w:divBdr>
    </w:div>
    <w:div w:id="685179912">
      <w:bodyDiv w:val="1"/>
      <w:marLeft w:val="0"/>
      <w:marRight w:val="0"/>
      <w:marTop w:val="0"/>
      <w:marBottom w:val="0"/>
      <w:divBdr>
        <w:top w:val="none" w:sz="0" w:space="0" w:color="auto"/>
        <w:left w:val="none" w:sz="0" w:space="0" w:color="auto"/>
        <w:bottom w:val="none" w:sz="0" w:space="0" w:color="auto"/>
        <w:right w:val="none" w:sz="0" w:space="0" w:color="auto"/>
      </w:divBdr>
    </w:div>
    <w:div w:id="1063983933">
      <w:bodyDiv w:val="1"/>
      <w:marLeft w:val="0"/>
      <w:marRight w:val="0"/>
      <w:marTop w:val="0"/>
      <w:marBottom w:val="0"/>
      <w:divBdr>
        <w:top w:val="none" w:sz="0" w:space="0" w:color="auto"/>
        <w:left w:val="none" w:sz="0" w:space="0" w:color="auto"/>
        <w:bottom w:val="none" w:sz="0" w:space="0" w:color="auto"/>
        <w:right w:val="none" w:sz="0" w:space="0" w:color="auto"/>
      </w:divBdr>
    </w:div>
    <w:div w:id="1208029652">
      <w:bodyDiv w:val="1"/>
      <w:marLeft w:val="0"/>
      <w:marRight w:val="0"/>
      <w:marTop w:val="0"/>
      <w:marBottom w:val="0"/>
      <w:divBdr>
        <w:top w:val="none" w:sz="0" w:space="0" w:color="auto"/>
        <w:left w:val="none" w:sz="0" w:space="0" w:color="auto"/>
        <w:bottom w:val="none" w:sz="0" w:space="0" w:color="auto"/>
        <w:right w:val="none" w:sz="0" w:space="0" w:color="auto"/>
      </w:divBdr>
    </w:div>
    <w:div w:id="2111075773">
      <w:bodyDiv w:val="1"/>
      <w:marLeft w:val="0"/>
      <w:marRight w:val="0"/>
      <w:marTop w:val="0"/>
      <w:marBottom w:val="0"/>
      <w:divBdr>
        <w:top w:val="none" w:sz="0" w:space="0" w:color="auto"/>
        <w:left w:val="none" w:sz="0" w:space="0" w:color="auto"/>
        <w:bottom w:val="none" w:sz="0" w:space="0" w:color="auto"/>
        <w:right w:val="none" w:sz="0" w:space="0" w:color="auto"/>
      </w:divBdr>
    </w:div>
    <w:div w:id="21418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meanssomething.com/size-of-the-transgender-population-and-why-it-matters/" TargetMode="External"/><Relationship Id="rId13" Type="http://schemas.openxmlformats.org/officeDocument/2006/relationships/hyperlink" Target="http://www5.statcan.gc.ca/cansim/a26?lang=eng&amp;retrLang=eng&amp;id=1050501&amp;paSer=&amp;pattern=&amp;stByVal=1&amp;p1=1&amp;p2=37&amp;tabMode=dataTable&amp;csid" TargetMode="External"/><Relationship Id="rId18" Type="http://schemas.openxmlformats.org/officeDocument/2006/relationships/hyperlink" Target="http://www.phac-aspc.gc.ca/publicat/2009/cvd-avc/pdf/cvd-avs-2009-eng.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12.statcan.gc.ca/nhs-enm/2011/dp-pd/dt-td/Rp-eng.cfm?LANG=E&amp;APATH=3&amp;DETAIL=0&amp;DIM=0&amp;FL=A&amp;FREE=0&amp;GC=0&amp;GID=0&amp;GK=0&amp;GRP=0&amp;PID=105401&amp;PRID=0&amp;PTYPE=105277&amp;S=0&amp;SHOWALL=0&amp;SUB=0&amp;Temporal=2013&amp;THEME=94&amp;VID=0&amp;VNAMEE=&amp;VNAMEF" TargetMode="External"/><Relationship Id="rId7" Type="http://schemas.openxmlformats.org/officeDocument/2006/relationships/image" Target="media/image1.png"/><Relationship Id="rId12" Type="http://schemas.openxmlformats.org/officeDocument/2006/relationships/hyperlink" Target="http://www.fptdwg.ca/assets/PDF/CHMS/CHMS-E-summ.pdf" TargetMode="External"/><Relationship Id="rId17" Type="http://schemas.openxmlformats.org/officeDocument/2006/relationships/hyperlink" Target="http://www.phac-aspc.gc.ca/sti-its-surv-epi/hepc/surv-eng.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ac-aspc.gc.ca/aids-sida/publication/survreport/2012/dec/index-eng.php" TargetMode="External"/><Relationship Id="rId20" Type="http://schemas.openxmlformats.org/officeDocument/2006/relationships/hyperlink" Target="http://www12.statcan.gc.ca/nhs-enm/2011/as-sa/99-011-x/99-011-x2011001-eng.c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5.statcan.gc.ca/cansim/a26?lang=eng&amp;retrLang=eng&amp;id=1050501&amp;paSer=&amp;pattern=&amp;stByVal=1&amp;p1=1&amp;p2=37&amp;tabMode=dataTable&amp;csid" TargetMode="External"/><Relationship Id="rId24" Type="http://schemas.openxmlformats.org/officeDocument/2006/relationships/hyperlink" Target="http://www12.statcan.gc.ca/census-recensement/2011/dp-pd/tbt-tt/Rp-eng.cfm?LANG=E&amp;APATH=3&amp;DETAIL=0&amp;DIM=0&amp;FL=A&amp;FREE=0&amp;GC=0&amp;GID=0&amp;GK=0&amp;GRP=1&amp;PID=102239&amp;PRID=10&amp;PTYPE=101955&amp;S=0&amp;SHOWALL=0&amp;SUB=0&amp;Temporal=2011&amp;THEME=91&amp;VID=0&amp;VNAMEE=&amp;VNAMEF" TargetMode="External"/><Relationship Id="rId5" Type="http://schemas.openxmlformats.org/officeDocument/2006/relationships/footnotes" Target="footnotes.xml"/><Relationship Id="rId15" Type="http://schemas.openxmlformats.org/officeDocument/2006/relationships/hyperlink" Target="http://www.statcan.gc.ca/pub/82-619-m/2012004/sections/sectionb-eng.htm" TargetMode="External"/><Relationship Id="rId23" Type="http://schemas.openxmlformats.org/officeDocument/2006/relationships/hyperlink" Target="http://www12.statcan.gc.ca/census-recensement/2016/dp-pd/hlt-fst/edu-sco/Table.cfm?Lang=E&amp;T=11&amp;Geo=00&amp;View=2&amp;Age=2" TargetMode="External"/><Relationship Id="rId10" Type="http://schemas.openxmlformats.org/officeDocument/2006/relationships/hyperlink" Target="https://secure.cihi.ca/free_products/cse_phc_aib_en.pdf" TargetMode="External"/><Relationship Id="rId19" Type="http://schemas.openxmlformats.org/officeDocument/2006/relationships/hyperlink" Target="http://www12.statcan.gc.ca/census-recensement/2011/dp-pd/prof/index.cfm?Lang=E" TargetMode="External"/><Relationship Id="rId4" Type="http://schemas.openxmlformats.org/officeDocument/2006/relationships/webSettings" Target="webSettings.xml"/><Relationship Id="rId9" Type="http://schemas.openxmlformats.org/officeDocument/2006/relationships/hyperlink" Target="http://www12.statcan.gc.ca/census-recensement/2011/as-sa/fogs-spg/Facts-pr-eng.cfm?Lang=Eng&amp;GK=PR&amp;GC=35" TargetMode="External"/><Relationship Id="rId14" Type="http://schemas.openxmlformats.org/officeDocument/2006/relationships/hyperlink" Target="http://www.cmha.bc.ca/get-informed/mental-health-information/ptsd" TargetMode="External"/><Relationship Id="rId22" Type="http://schemas.openxmlformats.org/officeDocument/2006/relationships/hyperlink" Target="http://www12.statcan.gc.ca/nhs-enm/2011/as-sa/99-012-x/99-012-x2011002-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EB33-729E-4E90-AE93-52E459DA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Joanne</dc:creator>
  <cp:keywords/>
  <dc:description/>
  <cp:lastModifiedBy>Parker, Joanne</cp:lastModifiedBy>
  <cp:revision>2</cp:revision>
  <dcterms:created xsi:type="dcterms:W3CDTF">2018-01-15T20:47:00Z</dcterms:created>
  <dcterms:modified xsi:type="dcterms:W3CDTF">2018-01-15T20:47:00Z</dcterms:modified>
</cp:coreProperties>
</file>