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B0B" w:rsidRPr="00A12B0B" w:rsidRDefault="00A12B0B" w:rsidP="00ED0D73">
      <w:pPr>
        <w:spacing w:before="120" w:after="120"/>
        <w:jc w:val="center"/>
        <w:rPr>
          <w:b/>
          <w:sz w:val="28"/>
          <w:szCs w:val="28"/>
        </w:rPr>
      </w:pPr>
      <w:r w:rsidRPr="00A12B0B">
        <w:rPr>
          <w:b/>
          <w:sz w:val="28"/>
          <w:szCs w:val="28"/>
        </w:rPr>
        <w:t>Principles of TVIC – Organizational and Individual Provider Levels</w:t>
      </w:r>
      <w:bookmarkStart w:id="0" w:name="_GoBack"/>
      <w:bookmarkEnd w:id="0"/>
    </w:p>
    <w:tbl>
      <w:tblPr>
        <w:tblStyle w:val="TableGrid"/>
        <w:tblW w:w="13495" w:type="dxa"/>
        <w:tblInd w:w="-185" w:type="dxa"/>
        <w:tblLook w:val="04A0" w:firstRow="1" w:lastRow="0" w:firstColumn="1" w:lastColumn="0" w:noHBand="0" w:noVBand="1"/>
      </w:tblPr>
      <w:tblGrid>
        <w:gridCol w:w="3415"/>
        <w:gridCol w:w="4950"/>
        <w:gridCol w:w="5130"/>
      </w:tblGrid>
      <w:tr w:rsidR="00A12B0B" w:rsidRPr="00A12B0B" w:rsidTr="00C758F5">
        <w:tc>
          <w:tcPr>
            <w:tcW w:w="3415" w:type="dxa"/>
          </w:tcPr>
          <w:p w:rsidR="00A12B0B" w:rsidRPr="00A12B0B" w:rsidRDefault="00A12B0B" w:rsidP="00C42A5F">
            <w:pPr>
              <w:jc w:val="center"/>
              <w:rPr>
                <w:b/>
                <w:sz w:val="24"/>
              </w:rPr>
            </w:pPr>
            <w:r w:rsidRPr="00A12B0B">
              <w:rPr>
                <w:b/>
                <w:sz w:val="24"/>
              </w:rPr>
              <w:t>Principle</w:t>
            </w:r>
          </w:p>
        </w:tc>
        <w:tc>
          <w:tcPr>
            <w:tcW w:w="4950" w:type="dxa"/>
          </w:tcPr>
          <w:p w:rsidR="00A12B0B" w:rsidRPr="00A12B0B" w:rsidRDefault="00A12B0B" w:rsidP="00C42A5F">
            <w:pPr>
              <w:jc w:val="center"/>
              <w:rPr>
                <w:b/>
                <w:sz w:val="24"/>
              </w:rPr>
            </w:pPr>
            <w:r w:rsidRPr="00A12B0B">
              <w:rPr>
                <w:b/>
                <w:sz w:val="24"/>
              </w:rPr>
              <w:t>Organizational Strategies</w:t>
            </w:r>
          </w:p>
        </w:tc>
        <w:tc>
          <w:tcPr>
            <w:tcW w:w="5130" w:type="dxa"/>
          </w:tcPr>
          <w:p w:rsidR="00A12B0B" w:rsidRPr="00A12B0B" w:rsidRDefault="00A12B0B" w:rsidP="00C42A5F">
            <w:pPr>
              <w:jc w:val="center"/>
              <w:rPr>
                <w:b/>
                <w:sz w:val="24"/>
              </w:rPr>
            </w:pPr>
            <w:r w:rsidRPr="00A12B0B">
              <w:rPr>
                <w:b/>
                <w:sz w:val="24"/>
              </w:rPr>
              <w:t>Provider Practices</w:t>
            </w:r>
          </w:p>
        </w:tc>
      </w:tr>
      <w:tr w:rsidR="00A12B0B" w:rsidRPr="00A12B0B" w:rsidTr="00C758F5">
        <w:tc>
          <w:tcPr>
            <w:tcW w:w="3415" w:type="dxa"/>
          </w:tcPr>
          <w:p w:rsidR="00A12B0B" w:rsidRPr="00A12B0B" w:rsidRDefault="00A12B0B" w:rsidP="00A12B0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4"/>
              </w:rPr>
            </w:pPr>
            <w:r w:rsidRPr="00A12B0B">
              <w:rPr>
                <w:b/>
                <w:sz w:val="24"/>
              </w:rPr>
              <w:t>Understand trauma, violence and its impacts on people’s lives and behavior</w:t>
            </w:r>
          </w:p>
        </w:tc>
        <w:tc>
          <w:tcPr>
            <w:tcW w:w="4950" w:type="dxa"/>
          </w:tcPr>
          <w:p w:rsidR="00A12B0B" w:rsidRPr="00A12B0B" w:rsidRDefault="00A12B0B" w:rsidP="00A12B0B">
            <w:pPr>
              <w:numPr>
                <w:ilvl w:val="0"/>
                <w:numId w:val="2"/>
              </w:numPr>
              <w:ind w:left="252" w:hanging="270"/>
              <w:rPr>
                <w:sz w:val="24"/>
                <w:lang w:val="en-US"/>
              </w:rPr>
            </w:pPr>
            <w:r w:rsidRPr="00A12B0B">
              <w:rPr>
                <w:sz w:val="24"/>
              </w:rPr>
              <w:t xml:space="preserve">Develop structures, policies, processes (e.g., hiring practices) to build culture based on understanding of trauma and violence </w:t>
            </w:r>
          </w:p>
          <w:p w:rsidR="00A12B0B" w:rsidRPr="00A12B0B" w:rsidRDefault="00A12B0B" w:rsidP="00A12B0B">
            <w:pPr>
              <w:numPr>
                <w:ilvl w:val="0"/>
                <w:numId w:val="2"/>
              </w:numPr>
              <w:ind w:left="252" w:hanging="270"/>
              <w:rPr>
                <w:sz w:val="24"/>
                <w:lang w:val="en-US"/>
              </w:rPr>
            </w:pPr>
            <w:r w:rsidRPr="00A12B0B">
              <w:rPr>
                <w:sz w:val="24"/>
              </w:rPr>
              <w:t xml:space="preserve">Staff training on health effects of violence/trauma, and vicarious trauma </w:t>
            </w:r>
          </w:p>
          <w:p w:rsidR="00A12B0B" w:rsidRPr="00A12B0B" w:rsidRDefault="00A12B0B" w:rsidP="00C42A5F">
            <w:pPr>
              <w:rPr>
                <w:sz w:val="24"/>
              </w:rPr>
            </w:pPr>
          </w:p>
        </w:tc>
        <w:tc>
          <w:tcPr>
            <w:tcW w:w="5130" w:type="dxa"/>
          </w:tcPr>
          <w:p w:rsidR="00A12B0B" w:rsidRPr="00A12B0B" w:rsidRDefault="00A12B0B" w:rsidP="00A12B0B">
            <w:pPr>
              <w:numPr>
                <w:ilvl w:val="0"/>
                <w:numId w:val="4"/>
              </w:numPr>
              <w:tabs>
                <w:tab w:val="clear" w:pos="720"/>
              </w:tabs>
              <w:ind w:left="404"/>
              <w:rPr>
                <w:sz w:val="24"/>
                <w:lang w:val="en-US"/>
              </w:rPr>
            </w:pPr>
            <w:r w:rsidRPr="00A12B0B">
              <w:rPr>
                <w:sz w:val="24"/>
              </w:rPr>
              <w:t>Be mindful of potential histories and effects (‘red flags’)</w:t>
            </w:r>
          </w:p>
          <w:p w:rsidR="00A12B0B" w:rsidRPr="00A12B0B" w:rsidRDefault="00A12B0B" w:rsidP="00A12B0B">
            <w:pPr>
              <w:numPr>
                <w:ilvl w:val="0"/>
                <w:numId w:val="4"/>
              </w:numPr>
              <w:tabs>
                <w:tab w:val="clear" w:pos="720"/>
              </w:tabs>
              <w:ind w:left="404"/>
              <w:rPr>
                <w:sz w:val="24"/>
                <w:lang w:val="en-US"/>
              </w:rPr>
            </w:pPr>
            <w:r w:rsidRPr="00A12B0B">
              <w:rPr>
                <w:sz w:val="24"/>
              </w:rPr>
              <w:t>Handle disclosures appropriately:</w:t>
            </w:r>
          </w:p>
          <w:p w:rsidR="00A12B0B" w:rsidRPr="00A12B0B" w:rsidRDefault="00A12B0B" w:rsidP="00A12B0B">
            <w:pPr>
              <w:numPr>
                <w:ilvl w:val="1"/>
                <w:numId w:val="3"/>
              </w:numPr>
              <w:tabs>
                <w:tab w:val="clear" w:pos="1440"/>
              </w:tabs>
              <w:ind w:left="764"/>
              <w:rPr>
                <w:sz w:val="24"/>
                <w:lang w:val="en-US"/>
              </w:rPr>
            </w:pPr>
            <w:r w:rsidRPr="00A12B0B">
              <w:rPr>
                <w:sz w:val="24"/>
              </w:rPr>
              <w:t xml:space="preserve">Believe the experience </w:t>
            </w:r>
          </w:p>
          <w:p w:rsidR="00A12B0B" w:rsidRPr="00A12B0B" w:rsidRDefault="00A12B0B" w:rsidP="00A12B0B">
            <w:pPr>
              <w:numPr>
                <w:ilvl w:val="1"/>
                <w:numId w:val="3"/>
              </w:numPr>
              <w:tabs>
                <w:tab w:val="clear" w:pos="1440"/>
              </w:tabs>
              <w:ind w:left="764"/>
              <w:rPr>
                <w:sz w:val="24"/>
                <w:lang w:val="en-US"/>
              </w:rPr>
            </w:pPr>
            <w:r w:rsidRPr="00A12B0B">
              <w:rPr>
                <w:sz w:val="24"/>
              </w:rPr>
              <w:t>Affirm and validate</w:t>
            </w:r>
          </w:p>
          <w:p w:rsidR="00A12B0B" w:rsidRPr="00A12B0B" w:rsidRDefault="00A12B0B" w:rsidP="00A12B0B">
            <w:pPr>
              <w:numPr>
                <w:ilvl w:val="1"/>
                <w:numId w:val="3"/>
              </w:numPr>
              <w:tabs>
                <w:tab w:val="clear" w:pos="1440"/>
              </w:tabs>
              <w:ind w:left="764"/>
              <w:rPr>
                <w:sz w:val="24"/>
                <w:lang w:val="en-US"/>
              </w:rPr>
            </w:pPr>
            <w:r w:rsidRPr="00A12B0B">
              <w:rPr>
                <w:sz w:val="24"/>
              </w:rPr>
              <w:t>Recognize strengths</w:t>
            </w:r>
          </w:p>
          <w:p w:rsidR="00A12B0B" w:rsidRPr="00A12B0B" w:rsidRDefault="00A12B0B" w:rsidP="00A12B0B">
            <w:pPr>
              <w:numPr>
                <w:ilvl w:val="1"/>
                <w:numId w:val="3"/>
              </w:numPr>
              <w:tabs>
                <w:tab w:val="clear" w:pos="1440"/>
              </w:tabs>
              <w:ind w:left="764"/>
              <w:rPr>
                <w:sz w:val="24"/>
                <w:lang w:val="en-US"/>
              </w:rPr>
            </w:pPr>
            <w:r w:rsidRPr="00A12B0B">
              <w:rPr>
                <w:sz w:val="24"/>
              </w:rPr>
              <w:t>Express concern for safety and well-being</w:t>
            </w:r>
          </w:p>
          <w:p w:rsidR="00A12B0B" w:rsidRPr="00A12B0B" w:rsidRDefault="00A12B0B" w:rsidP="00C42A5F">
            <w:pPr>
              <w:rPr>
                <w:sz w:val="24"/>
              </w:rPr>
            </w:pPr>
          </w:p>
        </w:tc>
      </w:tr>
      <w:tr w:rsidR="00A12B0B" w:rsidRPr="00A12B0B" w:rsidTr="00C758F5">
        <w:tc>
          <w:tcPr>
            <w:tcW w:w="3415" w:type="dxa"/>
          </w:tcPr>
          <w:p w:rsidR="00A12B0B" w:rsidRPr="00A12B0B" w:rsidRDefault="00A12B0B" w:rsidP="00A12B0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4"/>
              </w:rPr>
            </w:pPr>
            <w:r w:rsidRPr="00A12B0B">
              <w:rPr>
                <w:b/>
                <w:sz w:val="24"/>
              </w:rPr>
              <w:t>Create emotionally and physically safe environments for all clients and providers</w:t>
            </w:r>
          </w:p>
        </w:tc>
        <w:tc>
          <w:tcPr>
            <w:tcW w:w="4950" w:type="dxa"/>
          </w:tcPr>
          <w:p w:rsidR="00A12B0B" w:rsidRPr="00A12B0B" w:rsidRDefault="00A12B0B" w:rsidP="00A12B0B">
            <w:pPr>
              <w:numPr>
                <w:ilvl w:val="0"/>
                <w:numId w:val="5"/>
              </w:numPr>
              <w:ind w:left="342"/>
              <w:rPr>
                <w:sz w:val="24"/>
                <w:lang w:val="en-US"/>
              </w:rPr>
            </w:pPr>
            <w:r w:rsidRPr="00A12B0B">
              <w:rPr>
                <w:sz w:val="24"/>
              </w:rPr>
              <w:t xml:space="preserve">Create a welcoming space and intake procedures; emphasize confidentiality and client/patient priorities </w:t>
            </w:r>
          </w:p>
          <w:p w:rsidR="00A12B0B" w:rsidRPr="00A12B0B" w:rsidRDefault="00A12B0B" w:rsidP="00A12B0B">
            <w:pPr>
              <w:numPr>
                <w:ilvl w:val="0"/>
                <w:numId w:val="5"/>
              </w:numPr>
              <w:ind w:left="342"/>
              <w:rPr>
                <w:sz w:val="24"/>
                <w:lang w:val="en-US"/>
              </w:rPr>
            </w:pPr>
            <w:r w:rsidRPr="00A12B0B">
              <w:rPr>
                <w:sz w:val="24"/>
              </w:rPr>
              <w:t>Seek client input about safe and inclusive strategies</w:t>
            </w:r>
          </w:p>
          <w:p w:rsidR="00A12B0B" w:rsidRPr="00A12B0B" w:rsidRDefault="00A12B0B" w:rsidP="00A12B0B">
            <w:pPr>
              <w:numPr>
                <w:ilvl w:val="0"/>
                <w:numId w:val="5"/>
              </w:numPr>
              <w:ind w:left="342"/>
              <w:rPr>
                <w:sz w:val="24"/>
              </w:rPr>
            </w:pPr>
            <w:r w:rsidRPr="00A12B0B">
              <w:rPr>
                <w:sz w:val="24"/>
              </w:rPr>
              <w:t>Support staff at-risk of vicarious trauma (e.g. peer support, check-ins, self-care programs)</w:t>
            </w:r>
          </w:p>
          <w:p w:rsidR="00A12B0B" w:rsidRPr="00A12B0B" w:rsidRDefault="00A12B0B" w:rsidP="00C42A5F">
            <w:pPr>
              <w:ind w:left="342" w:hanging="360"/>
              <w:rPr>
                <w:sz w:val="24"/>
              </w:rPr>
            </w:pPr>
          </w:p>
        </w:tc>
        <w:tc>
          <w:tcPr>
            <w:tcW w:w="5130" w:type="dxa"/>
          </w:tcPr>
          <w:p w:rsidR="00A12B0B" w:rsidRPr="00A12B0B" w:rsidRDefault="00A12B0B" w:rsidP="00A12B0B">
            <w:pPr>
              <w:numPr>
                <w:ilvl w:val="0"/>
                <w:numId w:val="6"/>
              </w:numPr>
              <w:ind w:left="342"/>
              <w:rPr>
                <w:sz w:val="24"/>
                <w:lang w:val="en-US"/>
              </w:rPr>
            </w:pPr>
            <w:r w:rsidRPr="00A12B0B">
              <w:rPr>
                <w:sz w:val="24"/>
              </w:rPr>
              <w:t xml:space="preserve">Take a non-judgemental approach (make people feel accepted and deserving) </w:t>
            </w:r>
          </w:p>
          <w:p w:rsidR="00A12B0B" w:rsidRPr="00A12B0B" w:rsidRDefault="00A12B0B" w:rsidP="00A12B0B">
            <w:pPr>
              <w:numPr>
                <w:ilvl w:val="0"/>
                <w:numId w:val="6"/>
              </w:numPr>
              <w:ind w:left="342"/>
              <w:rPr>
                <w:sz w:val="24"/>
                <w:lang w:val="en-US"/>
              </w:rPr>
            </w:pPr>
            <w:r w:rsidRPr="00A12B0B">
              <w:rPr>
                <w:sz w:val="24"/>
              </w:rPr>
              <w:t xml:space="preserve">Foster connection and trust </w:t>
            </w:r>
          </w:p>
          <w:p w:rsidR="00A12B0B" w:rsidRPr="00A12B0B" w:rsidRDefault="00A12B0B" w:rsidP="00A12B0B">
            <w:pPr>
              <w:numPr>
                <w:ilvl w:val="0"/>
                <w:numId w:val="6"/>
              </w:numPr>
              <w:ind w:left="342"/>
              <w:rPr>
                <w:sz w:val="24"/>
              </w:rPr>
            </w:pPr>
            <w:r w:rsidRPr="00A12B0B">
              <w:rPr>
                <w:sz w:val="24"/>
              </w:rPr>
              <w:t>Provide clear information and predictable expectations about programming</w:t>
            </w:r>
          </w:p>
        </w:tc>
      </w:tr>
      <w:tr w:rsidR="00A12B0B" w:rsidRPr="00A12B0B" w:rsidTr="00C758F5">
        <w:tc>
          <w:tcPr>
            <w:tcW w:w="3415" w:type="dxa"/>
          </w:tcPr>
          <w:p w:rsidR="00A12B0B" w:rsidRPr="00A12B0B" w:rsidRDefault="00A12B0B" w:rsidP="00A12B0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4"/>
              </w:rPr>
            </w:pPr>
            <w:r w:rsidRPr="00A12B0B">
              <w:rPr>
                <w:b/>
                <w:sz w:val="24"/>
              </w:rPr>
              <w:t>Foster opportunities for choice, collaboration and connection</w:t>
            </w:r>
          </w:p>
        </w:tc>
        <w:tc>
          <w:tcPr>
            <w:tcW w:w="4950" w:type="dxa"/>
          </w:tcPr>
          <w:p w:rsidR="00A12B0B" w:rsidRPr="00A12B0B" w:rsidRDefault="00A12B0B" w:rsidP="00A12B0B">
            <w:pPr>
              <w:numPr>
                <w:ilvl w:val="0"/>
                <w:numId w:val="5"/>
              </w:numPr>
              <w:ind w:left="342"/>
              <w:rPr>
                <w:sz w:val="24"/>
                <w:lang w:val="en-US"/>
              </w:rPr>
            </w:pPr>
            <w:r w:rsidRPr="00A12B0B">
              <w:rPr>
                <w:sz w:val="24"/>
              </w:rPr>
              <w:t>Have policies and processes that allow for flexibility and encourage shared decision-making and participation</w:t>
            </w:r>
          </w:p>
          <w:p w:rsidR="00A12B0B" w:rsidRPr="00A12B0B" w:rsidRDefault="00A12B0B" w:rsidP="00A12B0B">
            <w:pPr>
              <w:numPr>
                <w:ilvl w:val="0"/>
                <w:numId w:val="5"/>
              </w:numPr>
              <w:ind w:left="342"/>
              <w:rPr>
                <w:sz w:val="24"/>
                <w:lang w:val="en-US"/>
              </w:rPr>
            </w:pPr>
            <w:r w:rsidRPr="00A12B0B">
              <w:rPr>
                <w:sz w:val="24"/>
              </w:rPr>
              <w:t>Involve staff and clients in identifying ways to implement services/programs</w:t>
            </w:r>
          </w:p>
          <w:p w:rsidR="00A12B0B" w:rsidRPr="00A12B0B" w:rsidRDefault="00A12B0B" w:rsidP="00C42A5F">
            <w:pPr>
              <w:ind w:left="342" w:hanging="360"/>
              <w:rPr>
                <w:sz w:val="24"/>
              </w:rPr>
            </w:pPr>
          </w:p>
        </w:tc>
        <w:tc>
          <w:tcPr>
            <w:tcW w:w="5130" w:type="dxa"/>
          </w:tcPr>
          <w:p w:rsidR="00A12B0B" w:rsidRPr="00A12B0B" w:rsidRDefault="00A12B0B" w:rsidP="00A12B0B">
            <w:pPr>
              <w:numPr>
                <w:ilvl w:val="0"/>
                <w:numId w:val="6"/>
              </w:numPr>
              <w:ind w:left="342"/>
              <w:rPr>
                <w:sz w:val="24"/>
                <w:lang w:val="en-US"/>
              </w:rPr>
            </w:pPr>
            <w:r w:rsidRPr="00A12B0B">
              <w:rPr>
                <w:sz w:val="24"/>
              </w:rPr>
              <w:t>Provide appropriate and meaningful options/real choices for treatment/care</w:t>
            </w:r>
          </w:p>
          <w:p w:rsidR="00A12B0B" w:rsidRPr="00A12B0B" w:rsidRDefault="00A12B0B" w:rsidP="00A12B0B">
            <w:pPr>
              <w:numPr>
                <w:ilvl w:val="0"/>
                <w:numId w:val="6"/>
              </w:numPr>
              <w:ind w:left="342"/>
              <w:rPr>
                <w:sz w:val="24"/>
                <w:lang w:val="en-US"/>
              </w:rPr>
            </w:pPr>
            <w:r w:rsidRPr="00A12B0B">
              <w:rPr>
                <w:sz w:val="24"/>
              </w:rPr>
              <w:t>Consider choices collaboratively</w:t>
            </w:r>
          </w:p>
          <w:p w:rsidR="00A12B0B" w:rsidRPr="00A12B0B" w:rsidRDefault="00A12B0B" w:rsidP="00A12B0B">
            <w:pPr>
              <w:numPr>
                <w:ilvl w:val="0"/>
                <w:numId w:val="6"/>
              </w:numPr>
              <w:ind w:left="342"/>
              <w:rPr>
                <w:sz w:val="24"/>
              </w:rPr>
            </w:pPr>
            <w:r w:rsidRPr="00A12B0B">
              <w:rPr>
                <w:sz w:val="24"/>
              </w:rPr>
              <w:t>Actively listen …..and privilege the person’s voice</w:t>
            </w:r>
          </w:p>
        </w:tc>
      </w:tr>
      <w:tr w:rsidR="00A12B0B" w:rsidRPr="00A12B0B" w:rsidTr="00C758F5">
        <w:tc>
          <w:tcPr>
            <w:tcW w:w="3415" w:type="dxa"/>
          </w:tcPr>
          <w:p w:rsidR="00A12B0B" w:rsidRPr="00A12B0B" w:rsidRDefault="00A12B0B" w:rsidP="00A12B0B">
            <w:pPr>
              <w:pStyle w:val="ListParagraph"/>
              <w:numPr>
                <w:ilvl w:val="0"/>
                <w:numId w:val="1"/>
              </w:numPr>
              <w:ind w:left="337"/>
              <w:rPr>
                <w:b/>
                <w:sz w:val="24"/>
              </w:rPr>
            </w:pPr>
            <w:r w:rsidRPr="00A12B0B">
              <w:rPr>
                <w:b/>
                <w:sz w:val="24"/>
              </w:rPr>
              <w:t>Use a strengths-based and capacity-building approach to support clients</w:t>
            </w:r>
          </w:p>
        </w:tc>
        <w:tc>
          <w:tcPr>
            <w:tcW w:w="4950" w:type="dxa"/>
          </w:tcPr>
          <w:p w:rsidR="00A12B0B" w:rsidRPr="00A12B0B" w:rsidRDefault="00A12B0B" w:rsidP="00A12B0B">
            <w:pPr>
              <w:numPr>
                <w:ilvl w:val="0"/>
                <w:numId w:val="5"/>
              </w:numPr>
              <w:ind w:left="342"/>
              <w:rPr>
                <w:sz w:val="24"/>
                <w:lang w:val="en-US"/>
              </w:rPr>
            </w:pPr>
            <w:r w:rsidRPr="00A12B0B">
              <w:rPr>
                <w:sz w:val="24"/>
              </w:rPr>
              <w:t>Allow sufficient time for meaningful engagement</w:t>
            </w:r>
          </w:p>
          <w:p w:rsidR="00A12B0B" w:rsidRPr="00A12B0B" w:rsidRDefault="00A12B0B" w:rsidP="00A12B0B">
            <w:pPr>
              <w:numPr>
                <w:ilvl w:val="0"/>
                <w:numId w:val="5"/>
              </w:numPr>
              <w:ind w:left="342"/>
              <w:rPr>
                <w:sz w:val="24"/>
              </w:rPr>
            </w:pPr>
            <w:r w:rsidRPr="00A12B0B">
              <w:rPr>
                <w:sz w:val="24"/>
              </w:rPr>
              <w:t>Program options that can be tailored to people’s needs, strengths and contexts</w:t>
            </w:r>
          </w:p>
        </w:tc>
        <w:tc>
          <w:tcPr>
            <w:tcW w:w="5130" w:type="dxa"/>
          </w:tcPr>
          <w:p w:rsidR="00A12B0B" w:rsidRPr="00A12B0B" w:rsidRDefault="00A12B0B" w:rsidP="00A12B0B">
            <w:pPr>
              <w:numPr>
                <w:ilvl w:val="0"/>
                <w:numId w:val="6"/>
              </w:numPr>
              <w:ind w:left="342"/>
              <w:rPr>
                <w:sz w:val="24"/>
                <w:lang w:val="en-US"/>
              </w:rPr>
            </w:pPr>
            <w:r w:rsidRPr="00A12B0B">
              <w:rPr>
                <w:sz w:val="24"/>
              </w:rPr>
              <w:t>Help people identify strengths</w:t>
            </w:r>
          </w:p>
          <w:p w:rsidR="00A12B0B" w:rsidRPr="00A12B0B" w:rsidRDefault="00A12B0B" w:rsidP="00A12B0B">
            <w:pPr>
              <w:numPr>
                <w:ilvl w:val="0"/>
                <w:numId w:val="6"/>
              </w:numPr>
              <w:ind w:left="342"/>
              <w:rPr>
                <w:sz w:val="24"/>
                <w:lang w:val="en-US"/>
              </w:rPr>
            </w:pPr>
            <w:r w:rsidRPr="00A12B0B">
              <w:rPr>
                <w:sz w:val="24"/>
              </w:rPr>
              <w:t>Acknowledge the effects of historical and structural conditions</w:t>
            </w:r>
          </w:p>
          <w:p w:rsidR="00A12B0B" w:rsidRPr="00A12B0B" w:rsidRDefault="00A12B0B" w:rsidP="00A12B0B">
            <w:pPr>
              <w:numPr>
                <w:ilvl w:val="0"/>
                <w:numId w:val="6"/>
              </w:numPr>
              <w:ind w:left="342"/>
              <w:rPr>
                <w:sz w:val="24"/>
              </w:rPr>
            </w:pPr>
            <w:r w:rsidRPr="00A12B0B">
              <w:rPr>
                <w:sz w:val="24"/>
              </w:rPr>
              <w:t>Teach skills for recognizing triggers, calming, centering (developmentally appropriate)</w:t>
            </w:r>
          </w:p>
        </w:tc>
      </w:tr>
    </w:tbl>
    <w:p w:rsidR="00A12B0B" w:rsidRPr="00C758F5" w:rsidRDefault="00A12B0B" w:rsidP="002E61C8">
      <w:pPr>
        <w:ind w:right="-450"/>
        <w:rPr>
          <w:sz w:val="18"/>
          <w:szCs w:val="18"/>
        </w:rPr>
      </w:pPr>
    </w:p>
    <w:sectPr w:rsidR="00A12B0B" w:rsidRPr="00C758F5" w:rsidSect="00C758F5">
      <w:headerReference w:type="default" r:id="rId7"/>
      <w:footerReference w:type="even" r:id="rId8"/>
      <w:footerReference w:type="default" r:id="rId9"/>
      <w:pgSz w:w="15840" w:h="12240" w:orient="landscape" w:code="1"/>
      <w:pgMar w:top="1152" w:right="1440" w:bottom="1008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52" w:rsidRDefault="00681552" w:rsidP="00A12B0B">
      <w:pPr>
        <w:spacing w:after="0" w:line="240" w:lineRule="auto"/>
      </w:pPr>
      <w:r>
        <w:separator/>
      </w:r>
    </w:p>
  </w:endnote>
  <w:endnote w:type="continuationSeparator" w:id="0">
    <w:p w:rsidR="00681552" w:rsidRDefault="00681552" w:rsidP="00A1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70" w:rsidRPr="00C758F5" w:rsidRDefault="00443170" w:rsidP="00C758F5">
    <w:pPr>
      <w:pStyle w:val="Footer"/>
      <w:ind w:left="-18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170" w:rsidRPr="00C758F5" w:rsidRDefault="00C758F5" w:rsidP="002E61C8">
    <w:pPr>
      <w:spacing w:after="120"/>
      <w:ind w:left="-360" w:right="-630"/>
      <w:rPr>
        <w:sz w:val="20"/>
        <w:szCs w:val="18"/>
      </w:rPr>
    </w:pPr>
    <w:r w:rsidRPr="00C758F5">
      <w:rPr>
        <w:sz w:val="20"/>
        <w:szCs w:val="18"/>
      </w:rPr>
      <w:t xml:space="preserve">Adapted from: </w:t>
    </w:r>
    <w:r w:rsidRPr="00C758F5">
      <w:rPr>
        <w:rFonts w:ascii="Calibri" w:hAnsi="Calibri"/>
        <w:sz w:val="20"/>
        <w:szCs w:val="18"/>
      </w:rPr>
      <w:t xml:space="preserve">Ponic, P., Varcoe, C., Smutylo, T. (2016). Trauma-(and violence-) informed approaches to supporting victims of violence: policy and practice considerations. </w:t>
    </w:r>
    <w:r w:rsidRPr="00C758F5">
      <w:rPr>
        <w:rFonts w:ascii="Calibri" w:hAnsi="Calibri"/>
        <w:i/>
        <w:iCs/>
        <w:sz w:val="20"/>
        <w:szCs w:val="18"/>
      </w:rPr>
      <w:t>Victims of Crime Research Digest, 9</w:t>
    </w:r>
    <w:r w:rsidRPr="00C758F5">
      <w:rPr>
        <w:rFonts w:ascii="Calibri" w:hAnsi="Calibri"/>
        <w:sz w:val="20"/>
        <w:szCs w:val="18"/>
      </w:rPr>
      <w:t>. Department of Justice (DOJ); Canada.</w:t>
    </w:r>
    <w:r w:rsidRPr="00C758F5">
      <w:rPr>
        <w:rFonts w:ascii="Calibri" w:hAnsi="Calibri"/>
        <w:i/>
        <w:iCs/>
        <w:sz w:val="20"/>
        <w:szCs w:val="18"/>
      </w:rPr>
      <w:t xml:space="preserve"> </w:t>
    </w:r>
    <w:r w:rsidRPr="00C758F5">
      <w:rPr>
        <w:rFonts w:ascii="Calibri" w:hAnsi="Calibri"/>
        <w:sz w:val="20"/>
        <w:szCs w:val="18"/>
      </w:rPr>
      <w:t xml:space="preserve">Available: </w:t>
    </w:r>
    <w:hyperlink r:id="rId1" w:history="1">
      <w:r w:rsidRPr="00C758F5">
        <w:rPr>
          <w:rStyle w:val="Hyperlink"/>
          <w:rFonts w:ascii="Calibri" w:hAnsi="Calibri"/>
          <w:sz w:val="20"/>
          <w:szCs w:val="18"/>
        </w:rPr>
        <w:t>http://www.justice.gc.ca/eng/rp-pr/cj-jp/victim/rd9-rr9/p2.html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52" w:rsidRDefault="00681552" w:rsidP="00A12B0B">
      <w:pPr>
        <w:spacing w:after="0" w:line="240" w:lineRule="auto"/>
      </w:pPr>
      <w:r>
        <w:separator/>
      </w:r>
    </w:p>
  </w:footnote>
  <w:footnote w:type="continuationSeparator" w:id="0">
    <w:p w:rsidR="00681552" w:rsidRDefault="00681552" w:rsidP="00A12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0B" w:rsidRPr="00C758F5" w:rsidRDefault="00A12B0B" w:rsidP="00C758F5">
    <w:pPr>
      <w:pStyle w:val="Header"/>
      <w:tabs>
        <w:tab w:val="clear" w:pos="4680"/>
        <w:tab w:val="clear" w:pos="9360"/>
        <w:tab w:val="right" w:pos="13140"/>
      </w:tabs>
      <w:ind w:left="-180"/>
      <w:rPr>
        <w:sz w:val="24"/>
      </w:rPr>
    </w:pPr>
    <w:r w:rsidRPr="00A12B0B">
      <w:rPr>
        <w:noProof/>
        <w:lang w:val="en-US"/>
      </w:rPr>
      <w:drawing>
        <wp:inline distT="0" distB="0" distL="0" distR="0" wp14:anchorId="0F4C8BA6" wp14:editId="069606B9">
          <wp:extent cx="3059179" cy="741851"/>
          <wp:effectExtent l="0" t="0" r="0" b="0"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98945" cy="751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43170">
      <w:tab/>
    </w:r>
    <w:r w:rsidR="00443170">
      <w:rPr>
        <w:noProof/>
        <w:lang w:val="en-US"/>
      </w:rPr>
      <w:drawing>
        <wp:inline distT="0" distB="0" distL="0" distR="0" wp14:anchorId="699EBA22" wp14:editId="0957A4F0">
          <wp:extent cx="2037241" cy="657860"/>
          <wp:effectExtent l="0" t="0" r="127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VEGA byline onl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1044" cy="68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B7E77"/>
    <w:multiLevelType w:val="hybridMultilevel"/>
    <w:tmpl w:val="C67C0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7576F"/>
    <w:multiLevelType w:val="hybridMultilevel"/>
    <w:tmpl w:val="FC9ED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9E22B6">
      <w:start w:val="5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4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A8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C0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C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E0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CA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2C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B3F7844"/>
    <w:multiLevelType w:val="hybridMultilevel"/>
    <w:tmpl w:val="594C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EA5D49"/>
    <w:multiLevelType w:val="hybridMultilevel"/>
    <w:tmpl w:val="1968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062E10"/>
    <w:multiLevelType w:val="hybridMultilevel"/>
    <w:tmpl w:val="C2085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E46EC"/>
    <w:multiLevelType w:val="hybridMultilevel"/>
    <w:tmpl w:val="1C900D6C"/>
    <w:lvl w:ilvl="0" w:tplc="57666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FCEE1C">
      <w:start w:val="36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theme="minorBidi" w:hint="default"/>
      </w:rPr>
    </w:lvl>
    <w:lvl w:ilvl="2" w:tplc="05F4B8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6A82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C0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18C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E0D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4CA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2CB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0B"/>
    <w:rsid w:val="002639A5"/>
    <w:rsid w:val="002C7A8B"/>
    <w:rsid w:val="002E61C8"/>
    <w:rsid w:val="00443170"/>
    <w:rsid w:val="00681552"/>
    <w:rsid w:val="007514C0"/>
    <w:rsid w:val="008674ED"/>
    <w:rsid w:val="00A12B0B"/>
    <w:rsid w:val="00C758F5"/>
    <w:rsid w:val="00ED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FC2BA5-AF91-426D-ACCF-95B36F446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B0B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B0B"/>
    <w:pPr>
      <w:ind w:left="720"/>
      <w:contextualSpacing/>
    </w:pPr>
  </w:style>
  <w:style w:type="table" w:styleId="TableGrid">
    <w:name w:val="Table Grid"/>
    <w:basedOn w:val="TableNormal"/>
    <w:uiPriority w:val="39"/>
    <w:rsid w:val="00A12B0B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B0B"/>
    <w:rPr>
      <w:lang w:val="en-CA"/>
    </w:rPr>
  </w:style>
  <w:style w:type="paragraph" w:styleId="Footer">
    <w:name w:val="footer"/>
    <w:basedOn w:val="Normal"/>
    <w:link w:val="FooterChar"/>
    <w:uiPriority w:val="99"/>
    <w:unhideWhenUsed/>
    <w:rsid w:val="00A12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B0B"/>
    <w:rPr>
      <w:lang w:val="en-CA"/>
    </w:rPr>
  </w:style>
  <w:style w:type="character" w:styleId="Hyperlink">
    <w:name w:val="Hyperlink"/>
    <w:basedOn w:val="DefaultParagraphFont"/>
    <w:uiPriority w:val="99"/>
    <w:unhideWhenUsed/>
    <w:rsid w:val="00C758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stice.gc.ca/eng/rp-pr/cj-jp/victim/rd9-rr9/p2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Wathen</dc:creator>
  <cp:keywords/>
  <dc:description/>
  <cp:lastModifiedBy>Nadine Wathen</cp:lastModifiedBy>
  <cp:revision>5</cp:revision>
  <dcterms:created xsi:type="dcterms:W3CDTF">2017-09-28T14:51:00Z</dcterms:created>
  <dcterms:modified xsi:type="dcterms:W3CDTF">2017-10-13T14:03:00Z</dcterms:modified>
</cp:coreProperties>
</file>